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3165" w14:textId="77777777" w:rsidR="00180406" w:rsidRDefault="00180406" w:rsidP="00093685">
      <w:pPr>
        <w:jc w:val="both"/>
      </w:pPr>
    </w:p>
    <w:p w14:paraId="2014C317" w14:textId="6EE1DEA8" w:rsidR="00854273" w:rsidRPr="00FE64E7" w:rsidRDefault="00854273" w:rsidP="00854273">
      <w:pPr>
        <w:jc w:val="center"/>
        <w:rPr>
          <w:rFonts w:ascii="Arial" w:hAnsi="Arial" w:cs="Arial"/>
          <w:b/>
          <w:bCs/>
          <w:color w:val="DC6800"/>
          <w:sz w:val="28"/>
          <w:szCs w:val="28"/>
        </w:rPr>
      </w:pPr>
      <w:r w:rsidRPr="00FE64E7">
        <w:rPr>
          <w:rFonts w:ascii="Arial" w:hAnsi="Arial" w:cs="Arial"/>
          <w:b/>
          <w:bCs/>
          <w:color w:val="DC6800"/>
          <w:sz w:val="28"/>
          <w:szCs w:val="28"/>
        </w:rPr>
        <w:t>Fat Prophets Global Contrarian Fund (FPC) announces a Disclosure pursuant to ASX Listing Rule 4.12</w:t>
      </w:r>
    </w:p>
    <w:p w14:paraId="578D0333" w14:textId="77777777" w:rsidR="00854273" w:rsidRPr="00B64E20" w:rsidRDefault="00854273" w:rsidP="00FE64E7">
      <w:pPr>
        <w:jc w:val="both"/>
        <w:rPr>
          <w:rFonts w:ascii="Arial" w:hAnsi="Arial" w:cs="Arial"/>
        </w:rPr>
      </w:pPr>
      <w:r w:rsidRPr="00B64E20">
        <w:rPr>
          <w:rFonts w:ascii="Arial" w:hAnsi="Arial" w:cs="Arial"/>
        </w:rPr>
        <w:t>Dear Shareholders,</w:t>
      </w:r>
    </w:p>
    <w:p w14:paraId="57C09E0F" w14:textId="39D3F1F3" w:rsidR="00854273" w:rsidRPr="00B64E20" w:rsidRDefault="00854273" w:rsidP="008D0727">
      <w:pPr>
        <w:rPr>
          <w:rFonts w:ascii="Arial" w:hAnsi="Arial" w:cs="Arial"/>
        </w:rPr>
      </w:pPr>
      <w:r w:rsidRPr="00B64E20">
        <w:rPr>
          <w:rFonts w:ascii="Arial" w:hAnsi="Arial" w:cs="Arial"/>
        </w:rPr>
        <w:t xml:space="preserve">The estimated net tangible asset backing </w:t>
      </w:r>
      <w:r w:rsidR="00C65CA2">
        <w:rPr>
          <w:rFonts w:ascii="Arial" w:hAnsi="Arial" w:cs="Arial"/>
        </w:rPr>
        <w:t>increased</w:t>
      </w:r>
      <w:r w:rsidR="003D11D7">
        <w:rPr>
          <w:rFonts w:ascii="Arial" w:hAnsi="Arial" w:cs="Arial"/>
        </w:rPr>
        <w:t xml:space="preserve"> in </w:t>
      </w:r>
      <w:r w:rsidR="00C65CA2">
        <w:rPr>
          <w:rFonts w:ascii="Arial" w:hAnsi="Arial" w:cs="Arial"/>
        </w:rPr>
        <w:t>July</w:t>
      </w:r>
      <w:r w:rsidR="00CF7DC0">
        <w:rPr>
          <w:rFonts w:ascii="Arial" w:hAnsi="Arial" w:cs="Arial"/>
        </w:rPr>
        <w:t xml:space="preserve"> 2022</w:t>
      </w:r>
      <w:r w:rsidR="003D11D7">
        <w:rPr>
          <w:rFonts w:ascii="Arial" w:hAnsi="Arial" w:cs="Arial"/>
        </w:rPr>
        <w:t xml:space="preserve"> </w:t>
      </w:r>
      <w:r w:rsidRPr="000932B0">
        <w:rPr>
          <w:rFonts w:ascii="Arial" w:hAnsi="Arial" w:cs="Arial"/>
        </w:rPr>
        <w:t>with pre-tax and post-tax NTA closing at $</w:t>
      </w:r>
      <w:r w:rsidR="00C65CA2">
        <w:rPr>
          <w:rFonts w:ascii="Arial" w:hAnsi="Arial" w:cs="Arial"/>
        </w:rPr>
        <w:t>1.0056</w:t>
      </w:r>
      <w:r w:rsidRPr="000932B0">
        <w:rPr>
          <w:rFonts w:ascii="Arial" w:hAnsi="Arial" w:cs="Arial"/>
        </w:rPr>
        <w:t xml:space="preserve"> and </w:t>
      </w:r>
      <w:r w:rsidR="00BE2E28">
        <w:rPr>
          <w:rFonts w:ascii="Arial" w:hAnsi="Arial" w:cs="Arial"/>
        </w:rPr>
        <w:t>$1.0355</w:t>
      </w:r>
      <w:r w:rsidRPr="00B64E20">
        <w:rPr>
          <w:rFonts w:ascii="Arial" w:hAnsi="Arial" w:cs="Arial"/>
        </w:rPr>
        <w:t>.</w:t>
      </w:r>
      <w:r w:rsidR="0035134A">
        <w:rPr>
          <w:rFonts w:ascii="Arial" w:hAnsi="Arial" w:cs="Arial"/>
        </w:rPr>
        <w:t xml:space="preserve"> </w:t>
      </w:r>
      <w:r w:rsidRPr="00B64E20">
        <w:rPr>
          <w:rFonts w:ascii="Arial" w:hAnsi="Arial" w:cs="Arial"/>
        </w:rPr>
        <w:t xml:space="preserve">At the end of </w:t>
      </w:r>
      <w:r w:rsidR="002363DC">
        <w:rPr>
          <w:rFonts w:ascii="Arial" w:hAnsi="Arial" w:cs="Arial"/>
        </w:rPr>
        <w:t>Ju</w:t>
      </w:r>
      <w:r w:rsidR="00BE2E28">
        <w:rPr>
          <w:rFonts w:ascii="Arial" w:hAnsi="Arial" w:cs="Arial"/>
        </w:rPr>
        <w:t>ly</w:t>
      </w:r>
      <w:r w:rsidRPr="00B64E20">
        <w:rPr>
          <w:rFonts w:ascii="Arial" w:hAnsi="Arial" w:cs="Arial"/>
        </w:rPr>
        <w:t xml:space="preserve">, net </w:t>
      </w:r>
      <w:r w:rsidR="00E17CC0">
        <w:rPr>
          <w:rFonts w:ascii="Arial" w:hAnsi="Arial" w:cs="Arial"/>
        </w:rPr>
        <w:t>cash</w:t>
      </w:r>
      <w:r w:rsidRPr="00B64E20">
        <w:rPr>
          <w:rFonts w:ascii="Arial" w:hAnsi="Arial" w:cs="Arial"/>
        </w:rPr>
        <w:t xml:space="preserve"> for the Fund was </w:t>
      </w:r>
      <w:r w:rsidR="009A7EC4">
        <w:rPr>
          <w:rFonts w:ascii="Arial" w:hAnsi="Arial" w:cs="Arial"/>
        </w:rPr>
        <w:t>54.02</w:t>
      </w:r>
      <w:r w:rsidRPr="00B64E20">
        <w:rPr>
          <w:rFonts w:ascii="Arial" w:hAnsi="Arial" w:cs="Arial"/>
        </w:rPr>
        <w:t xml:space="preserve">%. </w:t>
      </w:r>
    </w:p>
    <w:tbl>
      <w:tblPr>
        <w:tblStyle w:val="GridTable4-Accent2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1781"/>
        <w:gridCol w:w="2393"/>
        <w:gridCol w:w="1647"/>
        <w:gridCol w:w="1158"/>
      </w:tblGrid>
      <w:tr w:rsidR="00F14088" w:rsidRPr="00E60223" w14:paraId="6798AF1C" w14:textId="77777777" w:rsidTr="005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3B58451" w14:textId="77777777" w:rsidR="00F14088" w:rsidRPr="00E60223" w:rsidRDefault="00F14088" w:rsidP="0056449F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2DBAB185" w14:textId="14A11D0F" w:rsidR="00F14088" w:rsidRPr="00E60223" w:rsidRDefault="00F14088" w:rsidP="00F14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60223">
              <w:rPr>
                <w:rFonts w:ascii="Arial" w:hAnsi="Arial" w:cs="Arial"/>
                <w:bCs w:val="0"/>
                <w:color w:val="auto"/>
              </w:rPr>
              <w:t>31-July-2022</w:t>
            </w:r>
          </w:p>
        </w:tc>
        <w:tc>
          <w:tcPr>
            <w:tcW w:w="1647" w:type="dxa"/>
          </w:tcPr>
          <w:p w14:paraId="363E89CD" w14:textId="261F1751" w:rsidR="00F14088" w:rsidRPr="00E60223" w:rsidRDefault="00F14088" w:rsidP="00564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60223">
              <w:rPr>
                <w:rFonts w:ascii="Arial" w:hAnsi="Arial" w:cs="Arial"/>
                <w:bCs w:val="0"/>
                <w:color w:val="auto"/>
              </w:rPr>
              <w:t>30-June-2022</w:t>
            </w:r>
          </w:p>
        </w:tc>
        <w:tc>
          <w:tcPr>
            <w:tcW w:w="1158" w:type="dxa"/>
          </w:tcPr>
          <w:p w14:paraId="183941A9" w14:textId="77777777" w:rsidR="00F14088" w:rsidRPr="00E60223" w:rsidRDefault="00F14088" w:rsidP="00564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60223">
              <w:rPr>
                <w:rFonts w:ascii="Arial" w:hAnsi="Arial" w:cs="Arial"/>
                <w:color w:val="auto"/>
              </w:rPr>
              <w:t>Change</w:t>
            </w:r>
          </w:p>
        </w:tc>
      </w:tr>
      <w:tr w:rsidR="00F14088" w:rsidRPr="00E60223" w14:paraId="43E3D031" w14:textId="77777777" w:rsidTr="00564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782A048" w14:textId="77777777" w:rsidR="00F14088" w:rsidRPr="00E60223" w:rsidRDefault="00F14088" w:rsidP="00F14088">
            <w:pPr>
              <w:rPr>
                <w:rFonts w:ascii="Arial" w:hAnsi="Arial" w:cs="Arial"/>
                <w:bCs w:val="0"/>
              </w:rPr>
            </w:pPr>
            <w:r w:rsidRPr="00E60223">
              <w:rPr>
                <w:rFonts w:ascii="Arial" w:hAnsi="Arial" w:cs="Arial"/>
              </w:rPr>
              <w:t>Pre-Tax NTA</w:t>
            </w:r>
          </w:p>
        </w:tc>
        <w:tc>
          <w:tcPr>
            <w:tcW w:w="2393" w:type="dxa"/>
          </w:tcPr>
          <w:p w14:paraId="194BE591" w14:textId="4A63AAEF" w:rsidR="00F14088" w:rsidRPr="00E60223" w:rsidRDefault="003C5AD5" w:rsidP="00F14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60223">
              <w:rPr>
                <w:rFonts w:ascii="Arial" w:hAnsi="Arial" w:cs="Arial"/>
                <w:bCs/>
              </w:rPr>
              <w:t>1.0056</w:t>
            </w:r>
          </w:p>
        </w:tc>
        <w:tc>
          <w:tcPr>
            <w:tcW w:w="1647" w:type="dxa"/>
          </w:tcPr>
          <w:p w14:paraId="537F021B" w14:textId="1B0604AE" w:rsidR="00F14088" w:rsidRPr="00E60223" w:rsidRDefault="00F14088" w:rsidP="00F14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60223">
              <w:rPr>
                <w:rFonts w:ascii="Arial" w:hAnsi="Arial" w:cs="Arial"/>
                <w:bCs/>
              </w:rPr>
              <w:t>0.9964</w:t>
            </w:r>
          </w:p>
        </w:tc>
        <w:tc>
          <w:tcPr>
            <w:tcW w:w="1158" w:type="dxa"/>
          </w:tcPr>
          <w:p w14:paraId="4A80A26B" w14:textId="306D27D4" w:rsidR="00F14088" w:rsidRPr="00E60223" w:rsidRDefault="003C5AD5" w:rsidP="00F14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3"/>
                <w:szCs w:val="23"/>
              </w:rPr>
            </w:pPr>
            <w:r w:rsidRPr="00E60223">
              <w:rPr>
                <w:rFonts w:ascii="Arial" w:hAnsi="Arial" w:cs="Arial"/>
                <w:b/>
                <w:color w:val="00B050"/>
                <w:sz w:val="23"/>
                <w:szCs w:val="23"/>
              </w:rPr>
              <w:t>0.92</w:t>
            </w:r>
            <w:r w:rsidR="00F14088" w:rsidRPr="00E60223">
              <w:rPr>
                <w:rFonts w:ascii="Arial" w:hAnsi="Arial" w:cs="Arial"/>
                <w:b/>
                <w:color w:val="00B050"/>
                <w:sz w:val="23"/>
                <w:szCs w:val="23"/>
              </w:rPr>
              <w:t>%</w:t>
            </w:r>
          </w:p>
        </w:tc>
      </w:tr>
      <w:tr w:rsidR="00F14088" w:rsidRPr="00E60223" w14:paraId="6A0589B7" w14:textId="77777777" w:rsidTr="0056449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5B6C22B" w14:textId="77777777" w:rsidR="00F14088" w:rsidRPr="00E60223" w:rsidRDefault="00F14088" w:rsidP="005003E9">
            <w:pPr>
              <w:rPr>
                <w:rFonts w:ascii="Arial" w:hAnsi="Arial" w:cs="Arial"/>
                <w:bCs w:val="0"/>
              </w:rPr>
            </w:pPr>
            <w:r w:rsidRPr="00E60223">
              <w:rPr>
                <w:rFonts w:ascii="Arial" w:hAnsi="Arial" w:cs="Arial"/>
              </w:rPr>
              <w:t>Post-Tax NTA</w:t>
            </w:r>
          </w:p>
        </w:tc>
        <w:tc>
          <w:tcPr>
            <w:tcW w:w="2393" w:type="dxa"/>
          </w:tcPr>
          <w:p w14:paraId="1F43A159" w14:textId="19FE20D6" w:rsidR="00F14088" w:rsidRPr="00E60223" w:rsidRDefault="00BE2E28" w:rsidP="00F14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60223">
              <w:rPr>
                <w:rFonts w:ascii="Arial" w:hAnsi="Arial" w:cs="Arial"/>
                <w:bCs/>
              </w:rPr>
              <w:t>1.0355</w:t>
            </w:r>
          </w:p>
        </w:tc>
        <w:tc>
          <w:tcPr>
            <w:tcW w:w="1647" w:type="dxa"/>
          </w:tcPr>
          <w:p w14:paraId="6B495538" w14:textId="61DA9ABE" w:rsidR="00F14088" w:rsidRPr="00E60223" w:rsidRDefault="00F14088" w:rsidP="00F14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60223">
              <w:rPr>
                <w:rFonts w:ascii="Arial" w:hAnsi="Arial" w:cs="Arial"/>
                <w:bCs/>
              </w:rPr>
              <w:t>1.0534</w:t>
            </w:r>
          </w:p>
        </w:tc>
        <w:tc>
          <w:tcPr>
            <w:tcW w:w="1158" w:type="dxa"/>
          </w:tcPr>
          <w:p w14:paraId="7757452B" w14:textId="6E2D898E" w:rsidR="00F14088" w:rsidRPr="00E60223" w:rsidRDefault="00BE2E28" w:rsidP="00500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60223">
              <w:rPr>
                <w:rFonts w:ascii="Arial" w:hAnsi="Arial" w:cs="Arial"/>
                <w:b/>
              </w:rPr>
              <w:t>-1.70%</w:t>
            </w:r>
          </w:p>
        </w:tc>
      </w:tr>
    </w:tbl>
    <w:p w14:paraId="0F51DB62" w14:textId="77777777" w:rsidR="00426E46" w:rsidRDefault="00426E46" w:rsidP="00097757">
      <w:pPr>
        <w:spacing w:before="240"/>
        <w:rPr>
          <w:rFonts w:ascii="Arial" w:hAnsi="Arial" w:cs="Arial"/>
          <w:i/>
          <w:iCs/>
          <w:sz w:val="20"/>
          <w:szCs w:val="20"/>
        </w:rPr>
      </w:pPr>
    </w:p>
    <w:p w14:paraId="44C40760" w14:textId="77777777" w:rsidR="00F14088" w:rsidRDefault="00F14088" w:rsidP="00097757">
      <w:pPr>
        <w:spacing w:before="240"/>
        <w:rPr>
          <w:rFonts w:ascii="Arial" w:hAnsi="Arial" w:cs="Arial"/>
          <w:i/>
          <w:iCs/>
          <w:sz w:val="20"/>
          <w:szCs w:val="20"/>
        </w:rPr>
      </w:pPr>
    </w:p>
    <w:p w14:paraId="39A5C154" w14:textId="04EC8191" w:rsidR="00854273" w:rsidRPr="00CE42C6" w:rsidRDefault="00445E39" w:rsidP="005003E9">
      <w:pPr>
        <w:spacing w:before="240"/>
        <w:rPr>
          <w:rFonts w:ascii="Arial" w:hAnsi="Arial" w:cs="Arial"/>
          <w:b/>
          <w:bCs/>
          <w:color w:val="DC68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A8E16" wp14:editId="1F7E15CF">
                <wp:simplePos x="0" y="0"/>
                <wp:positionH relativeFrom="page">
                  <wp:posOffset>-105409</wp:posOffset>
                </wp:positionH>
                <wp:positionV relativeFrom="paragraph">
                  <wp:posOffset>336550</wp:posOffset>
                </wp:positionV>
                <wp:extent cx="492370" cy="281354"/>
                <wp:effectExtent l="0" t="27940" r="32385" b="3238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2370" cy="28135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7A3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-8.3pt;margin-top:26.5pt;width:38.75pt;height:22.15pt;rotation: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" fillcolor="#ed7d31 [3205]" strokecolor="#823b0b [1605]" strokeweight="1pt">
                <w10:wrap anchorx="page"/>
              </v:shape>
            </w:pict>
          </mc:Fallback>
        </mc:AlternateContent>
      </w:r>
      <w:r w:rsidR="00011E9E" w:rsidRPr="00CE42C6">
        <w:rPr>
          <w:rFonts w:ascii="Arial" w:hAnsi="Arial" w:cs="Arial"/>
          <w:b/>
          <w:bCs/>
          <w:color w:val="DC6800"/>
          <w:sz w:val="28"/>
          <w:szCs w:val="28"/>
        </w:rPr>
        <w:t>MARKET OUTLOOK AND PORTFOLIO PERFROMANCE</w:t>
      </w:r>
    </w:p>
    <w:p w14:paraId="11AAF1E4" w14:textId="295D9D23" w:rsidR="00C77877" w:rsidRPr="00C77877" w:rsidRDefault="0000433E" w:rsidP="00C77877">
      <w:pPr>
        <w:rPr>
          <w:rFonts w:ascii="Arial" w:eastAsia="Calibri" w:hAnsi="Arial" w:cs="Arial"/>
          <w:color w:val="000000"/>
          <w:lang w:bidi="th-TH"/>
        </w:rPr>
      </w:pPr>
      <w:r w:rsidRPr="00C77877">
        <w:rPr>
          <w:rFonts w:ascii="Arial" w:eastAsia="Calibri" w:hAnsi="Arial" w:cs="Arial"/>
          <w:color w:val="000000"/>
          <w:lang w:bidi="th-TH"/>
        </w:rPr>
        <w:t xml:space="preserve">The past </w:t>
      </w:r>
      <w:r w:rsidR="00C77877" w:rsidRPr="00C77877">
        <w:rPr>
          <w:rFonts w:ascii="Arial" w:eastAsia="Calibri" w:hAnsi="Arial" w:cs="Arial"/>
          <w:color w:val="000000"/>
          <w:lang w:bidi="th-TH"/>
        </w:rPr>
        <w:t xml:space="preserve">month has seen a strong rebound in US and global equities </w:t>
      </w:r>
      <w:r w:rsidR="00AD7275">
        <w:rPr>
          <w:rFonts w:ascii="Arial" w:eastAsia="Calibri" w:hAnsi="Arial" w:cs="Arial"/>
          <w:color w:val="000000"/>
          <w:lang w:bidi="th-TH"/>
        </w:rPr>
        <w:t>f</w:t>
      </w:r>
      <w:r w:rsidR="00C77877" w:rsidRPr="00C77877">
        <w:rPr>
          <w:rFonts w:ascii="Arial" w:eastAsia="Calibri" w:hAnsi="Arial" w:cs="Arial"/>
          <w:color w:val="000000"/>
          <w:lang w:bidi="th-TH"/>
        </w:rPr>
        <w:t>rom heavily oversold conditions</w:t>
      </w:r>
      <w:r w:rsidR="002873A7">
        <w:rPr>
          <w:rFonts w:ascii="Arial" w:eastAsia="Calibri" w:hAnsi="Arial" w:cs="Arial"/>
          <w:color w:val="000000"/>
          <w:lang w:bidi="th-TH"/>
        </w:rPr>
        <w:t xml:space="preserve"> that persisted in June</w:t>
      </w:r>
      <w:r w:rsidR="00C77877" w:rsidRPr="00C77877">
        <w:rPr>
          <w:rFonts w:ascii="Arial" w:eastAsia="Calibri" w:hAnsi="Arial" w:cs="Arial"/>
          <w:color w:val="000000"/>
          <w:lang w:bidi="th-TH"/>
        </w:rPr>
        <w:t xml:space="preserve">. Despite the rally, we continue to see challenging times ahead over at least the next </w:t>
      </w:r>
      <w:r w:rsidR="002873A7">
        <w:rPr>
          <w:rFonts w:ascii="Arial" w:eastAsia="Calibri" w:hAnsi="Arial" w:cs="Arial"/>
          <w:color w:val="000000"/>
          <w:lang w:bidi="th-TH"/>
        </w:rPr>
        <w:t xml:space="preserve">few </w:t>
      </w:r>
      <w:r w:rsidR="00C77877" w:rsidRPr="00C77877">
        <w:rPr>
          <w:rFonts w:ascii="Arial" w:eastAsia="Calibri" w:hAnsi="Arial" w:cs="Arial"/>
          <w:color w:val="000000"/>
          <w:lang w:bidi="th-TH"/>
        </w:rPr>
        <w:t>quarter</w:t>
      </w:r>
      <w:r w:rsidR="002873A7">
        <w:rPr>
          <w:rFonts w:ascii="Arial" w:eastAsia="Calibri" w:hAnsi="Arial" w:cs="Arial"/>
          <w:color w:val="000000"/>
          <w:lang w:bidi="th-TH"/>
        </w:rPr>
        <w:t>s</w:t>
      </w:r>
      <w:r w:rsidR="00C77877" w:rsidRPr="00C77877">
        <w:rPr>
          <w:rFonts w:ascii="Arial" w:eastAsia="Calibri" w:hAnsi="Arial" w:cs="Arial"/>
          <w:color w:val="000000"/>
          <w:lang w:bidi="th-TH"/>
        </w:rPr>
        <w:t xml:space="preserve"> for investors despite a </w:t>
      </w:r>
      <w:r w:rsidR="002873A7">
        <w:rPr>
          <w:rFonts w:ascii="Arial" w:eastAsia="Calibri" w:hAnsi="Arial" w:cs="Arial"/>
          <w:color w:val="000000"/>
          <w:lang w:bidi="th-TH"/>
        </w:rPr>
        <w:t>“</w:t>
      </w:r>
      <w:r w:rsidR="00C77877" w:rsidRPr="00C77877">
        <w:rPr>
          <w:rFonts w:ascii="Arial" w:eastAsia="Calibri" w:hAnsi="Arial" w:cs="Arial"/>
          <w:color w:val="000000"/>
          <w:lang w:bidi="th-TH"/>
        </w:rPr>
        <w:t>better than feared</w:t>
      </w:r>
      <w:r w:rsidR="002873A7">
        <w:rPr>
          <w:rFonts w:ascii="Arial" w:eastAsia="Calibri" w:hAnsi="Arial" w:cs="Arial"/>
          <w:color w:val="000000"/>
          <w:lang w:bidi="th-TH"/>
        </w:rPr>
        <w:t>”</w:t>
      </w:r>
      <w:r w:rsidR="00C77877" w:rsidRPr="00C77877">
        <w:rPr>
          <w:rFonts w:ascii="Arial" w:eastAsia="Calibri" w:hAnsi="Arial" w:cs="Arial"/>
          <w:color w:val="000000"/>
          <w:lang w:bidi="th-TH"/>
        </w:rPr>
        <w:t xml:space="preserve"> US reporting season. We </w:t>
      </w:r>
      <w:r w:rsidR="002873A7">
        <w:rPr>
          <w:rFonts w:ascii="Arial" w:eastAsia="Calibri" w:hAnsi="Arial" w:cs="Arial"/>
          <w:color w:val="000000"/>
          <w:lang w:bidi="th-TH"/>
        </w:rPr>
        <w:t xml:space="preserve">see further </w:t>
      </w:r>
      <w:r w:rsidR="00C77877" w:rsidRPr="00C77877">
        <w:rPr>
          <w:rFonts w:ascii="Arial" w:eastAsia="Calibri" w:hAnsi="Arial" w:cs="Arial"/>
          <w:color w:val="000000"/>
          <w:lang w:bidi="th-TH"/>
        </w:rPr>
        <w:t>volatility directly ahead for financial markets despite the intense debate over whether the US stock market has made a final bottom.</w:t>
      </w:r>
    </w:p>
    <w:p w14:paraId="752185A5" w14:textId="77777777" w:rsidR="002873A7" w:rsidRDefault="00C77877" w:rsidP="00C7787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77877">
        <w:rPr>
          <w:rFonts w:ascii="Arial" w:eastAsia="Calibri" w:hAnsi="Arial" w:cs="Arial"/>
          <w:color w:val="000000"/>
          <w:lang w:bidi="th-TH"/>
        </w:rPr>
        <w:t xml:space="preserve">We </w:t>
      </w:r>
      <w:r w:rsidR="002873A7">
        <w:rPr>
          <w:rFonts w:ascii="Arial" w:eastAsia="Calibri" w:hAnsi="Arial" w:cs="Arial"/>
          <w:color w:val="000000"/>
          <w:lang w:bidi="th-TH"/>
        </w:rPr>
        <w:t xml:space="preserve">believe there is a good likelihood </w:t>
      </w:r>
      <w:r w:rsidRPr="00C77877">
        <w:rPr>
          <w:rFonts w:ascii="Arial" w:eastAsia="Calibri" w:hAnsi="Arial" w:cs="Arial"/>
          <w:color w:val="000000"/>
          <w:lang w:bidi="th-TH"/>
        </w:rPr>
        <w:t xml:space="preserve">that </w:t>
      </w:r>
      <w:r w:rsidR="002873A7">
        <w:rPr>
          <w:rFonts w:ascii="Arial" w:eastAsia="Calibri" w:hAnsi="Arial" w:cs="Arial"/>
          <w:color w:val="000000"/>
          <w:lang w:bidi="th-TH"/>
        </w:rPr>
        <w:t>US m</w:t>
      </w:r>
      <w:r w:rsidRPr="00C77877">
        <w:rPr>
          <w:rFonts w:ascii="Arial" w:eastAsia="Times New Roman" w:hAnsi="Arial" w:cs="Arial"/>
        </w:rPr>
        <w:t>arket</w:t>
      </w:r>
      <w:r w:rsidR="002873A7">
        <w:rPr>
          <w:rFonts w:ascii="Arial" w:eastAsia="Times New Roman" w:hAnsi="Arial" w:cs="Arial"/>
        </w:rPr>
        <w:t xml:space="preserve">s will be challenged again </w:t>
      </w:r>
      <w:r w:rsidRPr="00C77877">
        <w:rPr>
          <w:rFonts w:ascii="Arial" w:eastAsia="Times New Roman" w:hAnsi="Arial" w:cs="Arial"/>
        </w:rPr>
        <w:t xml:space="preserve">when the third quarter reporting season gets underway. </w:t>
      </w:r>
      <w:r w:rsidRPr="00C77877">
        <w:rPr>
          <w:rFonts w:ascii="Arial" w:eastAsia="Times New Roman" w:hAnsi="Arial" w:cs="Arial"/>
          <w:color w:val="000000"/>
        </w:rPr>
        <w:t xml:space="preserve">Companies </w:t>
      </w:r>
      <w:r w:rsidR="002873A7">
        <w:rPr>
          <w:rFonts w:ascii="Arial" w:eastAsia="Times New Roman" w:hAnsi="Arial" w:cs="Arial"/>
          <w:color w:val="000000"/>
        </w:rPr>
        <w:t xml:space="preserve">could </w:t>
      </w:r>
      <w:r w:rsidRPr="00C77877">
        <w:rPr>
          <w:rFonts w:ascii="Arial" w:eastAsia="Times New Roman" w:hAnsi="Arial" w:cs="Arial"/>
          <w:color w:val="000000"/>
        </w:rPr>
        <w:t>soon start to grapple with falling sales prices</w:t>
      </w:r>
      <w:r>
        <w:rPr>
          <w:rFonts w:ascii="Arial" w:eastAsia="Times New Roman" w:hAnsi="Arial" w:cs="Arial"/>
          <w:color w:val="000000"/>
        </w:rPr>
        <w:t xml:space="preserve"> and</w:t>
      </w:r>
      <w:r w:rsidRPr="00C77877">
        <w:rPr>
          <w:rFonts w:ascii="Arial" w:eastAsia="Times New Roman" w:hAnsi="Arial" w:cs="Arial"/>
          <w:color w:val="000000"/>
        </w:rPr>
        <w:t xml:space="preserve"> flattening revenues </w:t>
      </w:r>
      <w:r>
        <w:rPr>
          <w:rFonts w:ascii="Arial" w:eastAsia="Times New Roman" w:hAnsi="Arial" w:cs="Arial"/>
          <w:color w:val="000000"/>
        </w:rPr>
        <w:t xml:space="preserve">while at the same time </w:t>
      </w:r>
      <w:r w:rsidR="002873A7">
        <w:rPr>
          <w:rFonts w:ascii="Arial" w:eastAsia="Times New Roman" w:hAnsi="Arial" w:cs="Arial"/>
          <w:color w:val="000000"/>
        </w:rPr>
        <w:t xml:space="preserve">be </w:t>
      </w:r>
      <w:r w:rsidRPr="00C77877">
        <w:rPr>
          <w:rFonts w:ascii="Arial" w:eastAsia="Times New Roman" w:hAnsi="Arial" w:cs="Arial"/>
          <w:color w:val="000000"/>
        </w:rPr>
        <w:t>face</w:t>
      </w:r>
      <w:r w:rsidR="002873A7">
        <w:rPr>
          <w:rFonts w:ascii="Arial" w:eastAsia="Times New Roman" w:hAnsi="Arial" w:cs="Arial"/>
          <w:color w:val="000000"/>
        </w:rPr>
        <w:t>d</w:t>
      </w:r>
      <w:r w:rsidRPr="00C77877">
        <w:rPr>
          <w:rFonts w:ascii="Arial" w:eastAsia="Times New Roman" w:hAnsi="Arial" w:cs="Arial"/>
          <w:color w:val="000000"/>
        </w:rPr>
        <w:t xml:space="preserve"> with high labour costs </w:t>
      </w:r>
      <w:r w:rsidR="002873A7">
        <w:rPr>
          <w:rFonts w:ascii="Arial" w:eastAsia="Times New Roman" w:hAnsi="Arial" w:cs="Arial"/>
          <w:color w:val="000000"/>
        </w:rPr>
        <w:t xml:space="preserve">that would likely </w:t>
      </w:r>
      <w:r w:rsidRPr="00C77877">
        <w:rPr>
          <w:rFonts w:ascii="Arial" w:eastAsia="Times New Roman" w:hAnsi="Arial" w:cs="Arial"/>
          <w:color w:val="000000"/>
        </w:rPr>
        <w:t>weigh on profits and margins.</w:t>
      </w:r>
      <w:r w:rsidR="002873A7">
        <w:rPr>
          <w:rFonts w:ascii="Arial" w:eastAsia="Times New Roman" w:hAnsi="Arial" w:cs="Arial"/>
          <w:color w:val="000000"/>
        </w:rPr>
        <w:t xml:space="preserve"> </w:t>
      </w:r>
      <w:r w:rsidRPr="00C77877">
        <w:rPr>
          <w:rFonts w:ascii="Arial" w:eastAsia="Times New Roman" w:hAnsi="Arial" w:cs="Arial"/>
          <w:color w:val="000000"/>
        </w:rPr>
        <w:t>The 3</w:t>
      </w:r>
      <w:r w:rsidRPr="00C77877">
        <w:rPr>
          <w:rFonts w:ascii="Arial" w:eastAsia="Times New Roman" w:hAnsi="Arial" w:cs="Arial"/>
          <w:color w:val="000000"/>
          <w:vertAlign w:val="superscript"/>
        </w:rPr>
        <w:t>rd</w:t>
      </w:r>
      <w:r w:rsidRPr="00C77877">
        <w:rPr>
          <w:rFonts w:ascii="Arial" w:eastAsia="Times New Roman" w:hAnsi="Arial" w:cs="Arial"/>
          <w:color w:val="000000"/>
        </w:rPr>
        <w:t xml:space="preserve"> quarter </w:t>
      </w:r>
      <w:r w:rsidR="002873A7">
        <w:rPr>
          <w:rFonts w:ascii="Arial" w:eastAsia="Times New Roman" w:hAnsi="Arial" w:cs="Arial"/>
          <w:color w:val="000000"/>
        </w:rPr>
        <w:t xml:space="preserve">could </w:t>
      </w:r>
      <w:r w:rsidRPr="00C77877">
        <w:rPr>
          <w:rFonts w:ascii="Arial" w:eastAsia="Times New Roman" w:hAnsi="Arial" w:cs="Arial"/>
          <w:color w:val="000000"/>
        </w:rPr>
        <w:t xml:space="preserve">therefore </w:t>
      </w:r>
      <w:r w:rsidR="002873A7">
        <w:rPr>
          <w:rFonts w:ascii="Arial" w:eastAsia="Times New Roman" w:hAnsi="Arial" w:cs="Arial"/>
          <w:color w:val="000000"/>
        </w:rPr>
        <w:t xml:space="preserve">be </w:t>
      </w:r>
      <w:r w:rsidRPr="00C77877">
        <w:rPr>
          <w:rFonts w:ascii="Arial" w:eastAsia="Times New Roman" w:hAnsi="Arial" w:cs="Arial"/>
          <w:color w:val="000000"/>
        </w:rPr>
        <w:t xml:space="preserve">characterised by downward earnings </w:t>
      </w:r>
      <w:r w:rsidR="002873A7">
        <w:rPr>
          <w:rFonts w:ascii="Arial" w:eastAsia="Times New Roman" w:hAnsi="Arial" w:cs="Arial"/>
          <w:color w:val="000000"/>
        </w:rPr>
        <w:t>revisions</w:t>
      </w:r>
      <w:r w:rsidRPr="00C77877">
        <w:rPr>
          <w:rFonts w:ascii="Arial" w:eastAsia="Times New Roman" w:hAnsi="Arial" w:cs="Arial"/>
          <w:color w:val="000000"/>
        </w:rPr>
        <w:t xml:space="preserve">. </w:t>
      </w:r>
    </w:p>
    <w:p w14:paraId="01306FDA" w14:textId="77777777" w:rsidR="002873A7" w:rsidRDefault="002873A7" w:rsidP="00C778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CD5027" w14:textId="3C09C130" w:rsidR="00C77877" w:rsidRDefault="00C77877" w:rsidP="00C7787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77877">
        <w:rPr>
          <w:rFonts w:ascii="Arial" w:eastAsia="Times New Roman" w:hAnsi="Arial" w:cs="Arial"/>
          <w:color w:val="000000"/>
        </w:rPr>
        <w:t xml:space="preserve">Valuations are </w:t>
      </w:r>
      <w:r w:rsidR="002873A7">
        <w:rPr>
          <w:rFonts w:ascii="Arial" w:eastAsia="Times New Roman" w:hAnsi="Arial" w:cs="Arial"/>
          <w:color w:val="000000"/>
        </w:rPr>
        <w:t xml:space="preserve">no </w:t>
      </w:r>
      <w:r w:rsidRPr="00C77877">
        <w:rPr>
          <w:rFonts w:ascii="Arial" w:eastAsia="Times New Roman" w:hAnsi="Arial" w:cs="Arial"/>
          <w:color w:val="000000"/>
        </w:rPr>
        <w:t xml:space="preserve">longer cheap as </w:t>
      </w:r>
      <w:r>
        <w:rPr>
          <w:rFonts w:ascii="Arial" w:eastAsia="Times New Roman" w:hAnsi="Arial" w:cs="Arial"/>
          <w:color w:val="000000"/>
        </w:rPr>
        <w:t xml:space="preserve">they were </w:t>
      </w:r>
      <w:r w:rsidRPr="00C77877">
        <w:rPr>
          <w:rFonts w:ascii="Arial" w:eastAsia="Times New Roman" w:hAnsi="Arial" w:cs="Arial"/>
          <w:color w:val="000000"/>
        </w:rPr>
        <w:t xml:space="preserve">back in June with </w:t>
      </w:r>
      <w:r w:rsidR="002873A7">
        <w:rPr>
          <w:rFonts w:ascii="Arial" w:eastAsia="Times New Roman" w:hAnsi="Arial" w:cs="Arial"/>
          <w:color w:val="000000"/>
        </w:rPr>
        <w:t xml:space="preserve">the </w:t>
      </w:r>
      <w:r w:rsidRPr="00C77877">
        <w:rPr>
          <w:rFonts w:ascii="Arial" w:eastAsia="Times New Roman" w:hAnsi="Arial" w:cs="Arial"/>
          <w:color w:val="000000"/>
        </w:rPr>
        <w:t>S&amp;P500 now priced on a forward PE at c18x</w:t>
      </w:r>
      <w:r>
        <w:rPr>
          <w:rFonts w:ascii="Arial" w:eastAsia="Times New Roman" w:hAnsi="Arial" w:cs="Arial"/>
          <w:color w:val="000000"/>
        </w:rPr>
        <w:t xml:space="preserve"> and vulnerable to downgrades.</w:t>
      </w:r>
      <w:r w:rsidRPr="00C7787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Whilst the first half of the year was one of the worst on record, the rebound </w:t>
      </w:r>
      <w:r w:rsidR="00B53079">
        <w:rPr>
          <w:rFonts w:ascii="Arial" w:eastAsia="Times New Roman" w:hAnsi="Arial" w:cs="Arial"/>
          <w:color w:val="000000"/>
        </w:rPr>
        <w:t xml:space="preserve">underpinned by plentiful liquidity and short covering </w:t>
      </w:r>
      <w:r>
        <w:rPr>
          <w:rFonts w:ascii="Arial" w:eastAsia="Times New Roman" w:hAnsi="Arial" w:cs="Arial"/>
          <w:color w:val="000000"/>
        </w:rPr>
        <w:t xml:space="preserve">has mitigated </w:t>
      </w:r>
      <w:r w:rsidR="00B53079">
        <w:rPr>
          <w:rFonts w:ascii="Arial" w:eastAsia="Times New Roman" w:hAnsi="Arial" w:cs="Arial"/>
          <w:color w:val="000000"/>
        </w:rPr>
        <w:t>the</w:t>
      </w:r>
      <w:r w:rsidR="002873A7">
        <w:rPr>
          <w:rFonts w:ascii="Arial" w:eastAsia="Times New Roman" w:hAnsi="Arial" w:cs="Arial"/>
          <w:color w:val="000000"/>
        </w:rPr>
        <w:t xml:space="preserve"> impact from the</w:t>
      </w:r>
      <w:r w:rsidR="00B53079">
        <w:rPr>
          <w:rFonts w:ascii="Arial" w:eastAsia="Times New Roman" w:hAnsi="Arial" w:cs="Arial"/>
          <w:color w:val="000000"/>
        </w:rPr>
        <w:t xml:space="preserve"> </w:t>
      </w:r>
      <w:r w:rsidR="002873A7">
        <w:rPr>
          <w:rFonts w:ascii="Arial" w:eastAsia="Times New Roman" w:hAnsi="Arial" w:cs="Arial"/>
          <w:color w:val="000000"/>
        </w:rPr>
        <w:t xml:space="preserve">recent </w:t>
      </w:r>
      <w:r w:rsidR="00B53079">
        <w:rPr>
          <w:rFonts w:ascii="Arial" w:eastAsia="Times New Roman" w:hAnsi="Arial" w:cs="Arial"/>
          <w:color w:val="000000"/>
        </w:rPr>
        <w:t xml:space="preserve">selloff. We </w:t>
      </w:r>
      <w:r w:rsidR="002873A7">
        <w:rPr>
          <w:rFonts w:ascii="Arial" w:eastAsia="Times New Roman" w:hAnsi="Arial" w:cs="Arial"/>
          <w:color w:val="000000"/>
        </w:rPr>
        <w:t xml:space="preserve">are </w:t>
      </w:r>
      <w:r w:rsidR="00B53079">
        <w:rPr>
          <w:rFonts w:ascii="Arial" w:eastAsia="Times New Roman" w:hAnsi="Arial" w:cs="Arial"/>
          <w:color w:val="000000"/>
        </w:rPr>
        <w:t xml:space="preserve">yet to </w:t>
      </w:r>
      <w:r w:rsidR="002873A7">
        <w:rPr>
          <w:rFonts w:ascii="Arial" w:eastAsia="Times New Roman" w:hAnsi="Arial" w:cs="Arial"/>
          <w:color w:val="000000"/>
        </w:rPr>
        <w:t xml:space="preserve">also </w:t>
      </w:r>
      <w:r w:rsidR="00B53079">
        <w:rPr>
          <w:rFonts w:ascii="Arial" w:eastAsia="Times New Roman" w:hAnsi="Arial" w:cs="Arial"/>
          <w:color w:val="000000"/>
        </w:rPr>
        <w:t xml:space="preserve">see capitulation on scale </w:t>
      </w:r>
      <w:r w:rsidR="002873A7">
        <w:rPr>
          <w:rFonts w:ascii="Arial" w:eastAsia="Times New Roman" w:hAnsi="Arial" w:cs="Arial"/>
          <w:color w:val="000000"/>
        </w:rPr>
        <w:t xml:space="preserve">with </w:t>
      </w:r>
      <w:r w:rsidR="00B53079">
        <w:rPr>
          <w:rFonts w:ascii="Arial" w:eastAsia="Times New Roman" w:hAnsi="Arial" w:cs="Arial"/>
          <w:color w:val="000000"/>
        </w:rPr>
        <w:t xml:space="preserve">previous </w:t>
      </w:r>
      <w:r w:rsidR="002873A7">
        <w:rPr>
          <w:rFonts w:ascii="Arial" w:eastAsia="Times New Roman" w:hAnsi="Arial" w:cs="Arial"/>
          <w:color w:val="000000"/>
        </w:rPr>
        <w:t xml:space="preserve">US </w:t>
      </w:r>
      <w:r w:rsidR="00B53079">
        <w:rPr>
          <w:rFonts w:ascii="Arial" w:eastAsia="Times New Roman" w:hAnsi="Arial" w:cs="Arial"/>
          <w:color w:val="000000"/>
        </w:rPr>
        <w:t>bear markets.</w:t>
      </w:r>
    </w:p>
    <w:p w14:paraId="256243B0" w14:textId="45CB8A68" w:rsidR="00B53079" w:rsidRDefault="00B53079" w:rsidP="00C778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B2DE1E" w14:textId="33B4FB3A" w:rsidR="00B53079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Meanwhile the </w:t>
      </w:r>
      <w:r w:rsidR="00C77877" w:rsidRPr="00C77877">
        <w:rPr>
          <w:rFonts w:ascii="Arial" w:eastAsia="Times New Roman" w:hAnsi="Arial" w:cs="Arial"/>
        </w:rPr>
        <w:t xml:space="preserve">Fed </w:t>
      </w:r>
      <w:r>
        <w:rPr>
          <w:rFonts w:ascii="Arial" w:eastAsia="Times New Roman" w:hAnsi="Arial" w:cs="Arial"/>
        </w:rPr>
        <w:t xml:space="preserve">looks to be </w:t>
      </w:r>
      <w:r w:rsidR="00C77877" w:rsidRPr="00C77877">
        <w:rPr>
          <w:rFonts w:ascii="Arial" w:eastAsia="Times New Roman" w:hAnsi="Arial" w:cs="Arial"/>
        </w:rPr>
        <w:t xml:space="preserve">not done yet </w:t>
      </w:r>
      <w:r>
        <w:rPr>
          <w:rFonts w:ascii="Arial" w:eastAsia="Times New Roman" w:hAnsi="Arial" w:cs="Arial"/>
        </w:rPr>
        <w:t xml:space="preserve">on interest rate </w:t>
      </w:r>
      <w:r w:rsidR="00C77877" w:rsidRPr="00C77877">
        <w:rPr>
          <w:rFonts w:ascii="Arial" w:eastAsia="Times New Roman" w:hAnsi="Arial" w:cs="Arial"/>
        </w:rPr>
        <w:t>hik</w:t>
      </w:r>
      <w:r>
        <w:rPr>
          <w:rFonts w:ascii="Arial" w:eastAsia="Times New Roman" w:hAnsi="Arial" w:cs="Arial"/>
        </w:rPr>
        <w:t xml:space="preserve">es </w:t>
      </w:r>
      <w:r w:rsidR="00C77877" w:rsidRPr="00C77877">
        <w:rPr>
          <w:rFonts w:ascii="Arial" w:eastAsia="Times New Roman" w:hAnsi="Arial" w:cs="Arial"/>
        </w:rPr>
        <w:t>as evidenced by the overheat</w:t>
      </w:r>
      <w:r>
        <w:rPr>
          <w:rFonts w:ascii="Arial" w:eastAsia="Times New Roman" w:hAnsi="Arial" w:cs="Arial"/>
        </w:rPr>
        <w:t xml:space="preserve">ing </w:t>
      </w:r>
      <w:r w:rsidR="00C77877" w:rsidRPr="00C77877">
        <w:rPr>
          <w:rFonts w:ascii="Arial" w:eastAsia="Times New Roman" w:hAnsi="Arial" w:cs="Arial"/>
        </w:rPr>
        <w:t>labour market</w:t>
      </w:r>
      <w:r w:rsidR="002873A7">
        <w:rPr>
          <w:rFonts w:ascii="Arial" w:eastAsia="Times New Roman" w:hAnsi="Arial" w:cs="Arial"/>
        </w:rPr>
        <w:t xml:space="preserve">, despite easing </w:t>
      </w:r>
      <w:r>
        <w:rPr>
          <w:rFonts w:ascii="Arial" w:eastAsia="Times New Roman" w:hAnsi="Arial" w:cs="Arial"/>
        </w:rPr>
        <w:t>inflation</w:t>
      </w:r>
      <w:r w:rsidR="002873A7">
        <w:rPr>
          <w:rFonts w:ascii="Arial" w:eastAsia="Times New Roman" w:hAnsi="Arial" w:cs="Arial"/>
        </w:rPr>
        <w:t>ary pressure</w:t>
      </w:r>
      <w:r>
        <w:rPr>
          <w:rFonts w:ascii="Arial" w:eastAsia="Times New Roman" w:hAnsi="Arial" w:cs="Arial"/>
        </w:rPr>
        <w:t>. The b</w:t>
      </w:r>
      <w:r w:rsidR="00C77877" w:rsidRPr="00C77877">
        <w:rPr>
          <w:rFonts w:ascii="Arial" w:eastAsia="Times New Roman" w:hAnsi="Arial" w:cs="Arial"/>
          <w:color w:val="000000"/>
        </w:rPr>
        <w:t xml:space="preserve">ond </w:t>
      </w:r>
      <w:r>
        <w:rPr>
          <w:rFonts w:ascii="Arial" w:eastAsia="Times New Roman" w:hAnsi="Arial" w:cs="Arial"/>
          <w:color w:val="000000"/>
        </w:rPr>
        <w:t xml:space="preserve">market has diverged prominently from stocks </w:t>
      </w:r>
      <w:r w:rsidR="002873A7">
        <w:rPr>
          <w:rFonts w:ascii="Arial" w:eastAsia="Times New Roman" w:hAnsi="Arial" w:cs="Arial"/>
          <w:color w:val="000000"/>
        </w:rPr>
        <w:t>with t</w:t>
      </w:r>
      <w:r>
        <w:rPr>
          <w:rFonts w:ascii="Arial" w:eastAsia="Times New Roman" w:hAnsi="Arial" w:cs="Arial"/>
          <w:color w:val="000000"/>
        </w:rPr>
        <w:t xml:space="preserve">he yield </w:t>
      </w:r>
      <w:r w:rsidR="00C77877" w:rsidRPr="00C77877">
        <w:rPr>
          <w:rFonts w:ascii="Arial" w:eastAsia="Times New Roman" w:hAnsi="Arial" w:cs="Arial"/>
          <w:color w:val="000000"/>
        </w:rPr>
        <w:t xml:space="preserve">curve </w:t>
      </w:r>
      <w:r>
        <w:rPr>
          <w:rFonts w:ascii="Arial" w:eastAsia="Times New Roman" w:hAnsi="Arial" w:cs="Arial"/>
          <w:color w:val="000000"/>
        </w:rPr>
        <w:t xml:space="preserve">now </w:t>
      </w:r>
      <w:r w:rsidR="002873A7">
        <w:rPr>
          <w:rFonts w:ascii="Arial" w:eastAsia="Times New Roman" w:hAnsi="Arial" w:cs="Arial"/>
          <w:color w:val="000000"/>
        </w:rPr>
        <w:t xml:space="preserve">prominently </w:t>
      </w:r>
      <w:r w:rsidR="00C77877" w:rsidRPr="00C77877">
        <w:rPr>
          <w:rFonts w:ascii="Arial" w:eastAsia="Times New Roman" w:hAnsi="Arial" w:cs="Arial"/>
          <w:color w:val="000000"/>
        </w:rPr>
        <w:t>inverted</w:t>
      </w:r>
      <w:r w:rsidR="002873A7">
        <w:rPr>
          <w:rFonts w:ascii="Arial" w:eastAsia="Times New Roman" w:hAnsi="Arial" w:cs="Arial"/>
          <w:color w:val="000000"/>
        </w:rPr>
        <w:t xml:space="preserve">. In the past 50 years during every single cycle, </w:t>
      </w:r>
      <w:r w:rsidR="002873A7" w:rsidRPr="00C77877">
        <w:rPr>
          <w:rFonts w:ascii="Arial" w:eastAsia="Times New Roman" w:hAnsi="Arial" w:cs="Arial"/>
          <w:color w:val="000000"/>
        </w:rPr>
        <w:t xml:space="preserve">recession has aways </w:t>
      </w:r>
      <w:r w:rsidR="002873A7">
        <w:rPr>
          <w:rFonts w:ascii="Arial" w:eastAsia="Times New Roman" w:hAnsi="Arial" w:cs="Arial"/>
          <w:color w:val="000000"/>
        </w:rPr>
        <w:t xml:space="preserve">ultimately </w:t>
      </w:r>
      <w:r w:rsidR="002873A7" w:rsidRPr="00C77877">
        <w:rPr>
          <w:rFonts w:ascii="Arial" w:eastAsia="Times New Roman" w:hAnsi="Arial" w:cs="Arial"/>
          <w:color w:val="000000"/>
        </w:rPr>
        <w:t xml:space="preserve">arrived </w:t>
      </w:r>
      <w:r w:rsidR="002873A7">
        <w:rPr>
          <w:rFonts w:ascii="Arial" w:eastAsia="Times New Roman" w:hAnsi="Arial" w:cs="Arial"/>
          <w:color w:val="000000"/>
        </w:rPr>
        <w:t>when the curve has inverted. Volatility in bond markets also contrasts with the recent decline in the VIX.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F3ED3F9" w14:textId="77777777" w:rsidR="00B53079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6560D0" w14:textId="601489B3" w:rsidR="00B53079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Global growth is slowing </w:t>
      </w:r>
      <w:r w:rsidR="002873A7">
        <w:rPr>
          <w:rFonts w:ascii="Arial" w:eastAsia="Times New Roman" w:hAnsi="Arial" w:cs="Arial"/>
          <w:color w:val="000000"/>
        </w:rPr>
        <w:t xml:space="preserve">in </w:t>
      </w:r>
      <w:r w:rsidR="00C77877" w:rsidRPr="00C77877">
        <w:rPr>
          <w:rFonts w:ascii="Arial" w:eastAsia="Times New Roman" w:hAnsi="Arial" w:cs="Arial"/>
          <w:color w:val="000000"/>
        </w:rPr>
        <w:t xml:space="preserve">Europe </w:t>
      </w:r>
      <w:r w:rsidR="002873A7">
        <w:rPr>
          <w:rFonts w:ascii="Arial" w:eastAsia="Times New Roman" w:hAnsi="Arial" w:cs="Arial"/>
          <w:color w:val="000000"/>
        </w:rPr>
        <w:t xml:space="preserve">and the UK which appears </w:t>
      </w:r>
      <w:r w:rsidR="00C77877" w:rsidRPr="00C77877">
        <w:rPr>
          <w:rFonts w:ascii="Arial" w:eastAsia="Times New Roman" w:hAnsi="Arial" w:cs="Arial"/>
          <w:color w:val="000000"/>
        </w:rPr>
        <w:t>on the cusp of recession.</w:t>
      </w:r>
      <w:r w:rsidR="002873A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We continue to see significant </w:t>
      </w:r>
      <w:r w:rsidR="002873A7">
        <w:rPr>
          <w:rFonts w:ascii="Arial" w:eastAsia="Times New Roman" w:hAnsi="Arial" w:cs="Arial"/>
          <w:color w:val="000000"/>
        </w:rPr>
        <w:t xml:space="preserve">downside </w:t>
      </w:r>
      <w:r>
        <w:rPr>
          <w:rFonts w:ascii="Arial" w:eastAsia="Times New Roman" w:hAnsi="Arial" w:cs="Arial"/>
          <w:color w:val="000000"/>
        </w:rPr>
        <w:t xml:space="preserve">risks in China which might be </w:t>
      </w:r>
      <w:r w:rsidR="00C77877" w:rsidRPr="00C77877">
        <w:rPr>
          <w:rFonts w:ascii="Arial" w:eastAsia="Times New Roman" w:hAnsi="Arial" w:cs="Arial"/>
          <w:color w:val="000000"/>
        </w:rPr>
        <w:t xml:space="preserve">underestimated </w:t>
      </w:r>
      <w:r w:rsidR="002873A7">
        <w:rPr>
          <w:rFonts w:ascii="Arial" w:eastAsia="Times New Roman" w:hAnsi="Arial" w:cs="Arial"/>
          <w:color w:val="000000"/>
        </w:rPr>
        <w:t xml:space="preserve">currently </w:t>
      </w:r>
      <w:r w:rsidR="00C77877" w:rsidRPr="00C77877">
        <w:rPr>
          <w:rFonts w:ascii="Arial" w:eastAsia="Times New Roman" w:hAnsi="Arial" w:cs="Arial"/>
          <w:color w:val="000000"/>
        </w:rPr>
        <w:t xml:space="preserve">by </w:t>
      </w:r>
      <w:r w:rsidR="002873A7">
        <w:rPr>
          <w:rFonts w:ascii="Arial" w:eastAsia="Times New Roman" w:hAnsi="Arial" w:cs="Arial"/>
          <w:color w:val="000000"/>
        </w:rPr>
        <w:t xml:space="preserve">the </w:t>
      </w:r>
      <w:r w:rsidR="00C77877" w:rsidRPr="00C77877">
        <w:rPr>
          <w:rFonts w:ascii="Arial" w:eastAsia="Times New Roman" w:hAnsi="Arial" w:cs="Arial"/>
          <w:color w:val="000000"/>
        </w:rPr>
        <w:t>markets</w:t>
      </w:r>
      <w:r w:rsidR="002873A7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The </w:t>
      </w:r>
      <w:r w:rsidR="00C77877" w:rsidRPr="00C77877">
        <w:rPr>
          <w:rFonts w:ascii="Arial" w:eastAsia="Times New Roman" w:hAnsi="Arial" w:cs="Arial"/>
          <w:color w:val="000000"/>
        </w:rPr>
        <w:t xml:space="preserve">property contagion has </w:t>
      </w:r>
      <w:r>
        <w:rPr>
          <w:rFonts w:ascii="Arial" w:eastAsia="Times New Roman" w:hAnsi="Arial" w:cs="Arial"/>
          <w:color w:val="000000"/>
        </w:rPr>
        <w:t xml:space="preserve">continued to </w:t>
      </w:r>
      <w:r w:rsidR="00C77877" w:rsidRPr="00C77877">
        <w:rPr>
          <w:rFonts w:ascii="Arial" w:eastAsia="Times New Roman" w:hAnsi="Arial" w:cs="Arial"/>
          <w:color w:val="000000"/>
        </w:rPr>
        <w:t xml:space="preserve">spread and deepen, </w:t>
      </w:r>
      <w:r w:rsidR="002873A7">
        <w:rPr>
          <w:rFonts w:ascii="Arial" w:eastAsia="Times New Roman" w:hAnsi="Arial" w:cs="Arial"/>
          <w:color w:val="000000"/>
        </w:rPr>
        <w:t xml:space="preserve">with </w:t>
      </w:r>
      <w:r w:rsidR="00C77877" w:rsidRPr="00C77877">
        <w:rPr>
          <w:rFonts w:ascii="Arial" w:eastAsia="Times New Roman" w:hAnsi="Arial" w:cs="Arial"/>
          <w:color w:val="000000"/>
        </w:rPr>
        <w:t>consumers no longer responding as they have in the past to government stimulus.</w:t>
      </w:r>
      <w:r>
        <w:rPr>
          <w:rFonts w:ascii="Arial" w:eastAsia="Times New Roman" w:hAnsi="Arial" w:cs="Arial"/>
          <w:color w:val="000000"/>
        </w:rPr>
        <w:t xml:space="preserve"> China’s slowdown comes amid persistent l</w:t>
      </w:r>
      <w:r w:rsidR="00C77877" w:rsidRPr="00C77877">
        <w:rPr>
          <w:rFonts w:ascii="Arial" w:eastAsia="Times New Roman" w:hAnsi="Arial" w:cs="Arial"/>
          <w:color w:val="000000"/>
        </w:rPr>
        <w:t xml:space="preserve">ockdowns and </w:t>
      </w:r>
      <w:r>
        <w:rPr>
          <w:rFonts w:ascii="Arial" w:eastAsia="Times New Roman" w:hAnsi="Arial" w:cs="Arial"/>
          <w:color w:val="000000"/>
        </w:rPr>
        <w:t xml:space="preserve">restrictive measures enforced by </w:t>
      </w:r>
      <w:r w:rsidR="00C77877" w:rsidRPr="00C77877">
        <w:rPr>
          <w:rFonts w:ascii="Arial" w:eastAsia="Times New Roman" w:hAnsi="Arial" w:cs="Arial"/>
          <w:color w:val="000000"/>
        </w:rPr>
        <w:t>zero covid policies</w:t>
      </w:r>
      <w:r>
        <w:rPr>
          <w:rFonts w:ascii="Arial" w:eastAsia="Times New Roman" w:hAnsi="Arial" w:cs="Arial"/>
          <w:color w:val="000000"/>
        </w:rPr>
        <w:t>.</w:t>
      </w:r>
      <w:r w:rsidR="002873A7">
        <w:rPr>
          <w:rFonts w:ascii="Arial" w:eastAsia="Times New Roman" w:hAnsi="Arial" w:cs="Arial"/>
          <w:color w:val="000000"/>
        </w:rPr>
        <w:t xml:space="preserve"> Covid remains a key risk to China’s widely expected growth rebound over coming quarters. 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C850950" w14:textId="77777777" w:rsidR="00B53079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EFF8D6" w14:textId="47FE9E2E" w:rsidR="00C77877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While zero covid is </w:t>
      </w:r>
      <w:r w:rsidR="00C77877" w:rsidRPr="00C77877">
        <w:rPr>
          <w:rFonts w:ascii="Arial" w:eastAsia="Times New Roman" w:hAnsi="Arial" w:cs="Arial"/>
          <w:color w:val="000000"/>
        </w:rPr>
        <w:t xml:space="preserve">expected to end when </w:t>
      </w:r>
      <w:r>
        <w:rPr>
          <w:rFonts w:ascii="Arial" w:eastAsia="Times New Roman" w:hAnsi="Arial" w:cs="Arial"/>
          <w:color w:val="000000"/>
        </w:rPr>
        <w:t xml:space="preserve">the </w:t>
      </w:r>
      <w:r w:rsidR="00C77877" w:rsidRPr="00C77877">
        <w:rPr>
          <w:rFonts w:ascii="Arial" w:eastAsia="Times New Roman" w:hAnsi="Arial" w:cs="Arial"/>
          <w:color w:val="000000"/>
        </w:rPr>
        <w:t>Chinese leadership is finalised later this year</w:t>
      </w:r>
      <w:r>
        <w:rPr>
          <w:rFonts w:ascii="Arial" w:eastAsia="Times New Roman" w:hAnsi="Arial" w:cs="Arial"/>
          <w:color w:val="000000"/>
        </w:rPr>
        <w:t xml:space="preserve">, we have some doubts. China’s growth rate is </w:t>
      </w:r>
      <w:r w:rsidR="002873A7">
        <w:rPr>
          <w:rFonts w:ascii="Arial" w:eastAsia="Times New Roman" w:hAnsi="Arial" w:cs="Arial"/>
          <w:color w:val="000000"/>
        </w:rPr>
        <w:t xml:space="preserve">continuously being </w:t>
      </w:r>
      <w:r>
        <w:rPr>
          <w:rFonts w:ascii="Arial" w:eastAsia="Times New Roman" w:hAnsi="Arial" w:cs="Arial"/>
          <w:color w:val="000000"/>
        </w:rPr>
        <w:t xml:space="preserve">buffeted by domestic policies and </w:t>
      </w:r>
      <w:r w:rsidR="002873A7">
        <w:rPr>
          <w:rFonts w:ascii="Arial" w:eastAsia="Times New Roman" w:hAnsi="Arial" w:cs="Arial"/>
          <w:color w:val="000000"/>
        </w:rPr>
        <w:t>a global slowdown elsewhere</w:t>
      </w:r>
      <w:r>
        <w:rPr>
          <w:rFonts w:ascii="Arial" w:eastAsia="Times New Roman" w:hAnsi="Arial" w:cs="Arial"/>
          <w:color w:val="000000"/>
        </w:rPr>
        <w:t xml:space="preserve">. </w:t>
      </w:r>
      <w:r w:rsidR="00C77877" w:rsidRPr="00C77877">
        <w:rPr>
          <w:rFonts w:ascii="Arial" w:eastAsia="Times New Roman" w:hAnsi="Arial" w:cs="Arial"/>
          <w:color w:val="000000"/>
        </w:rPr>
        <w:t xml:space="preserve">Geopolitical tensions </w:t>
      </w:r>
      <w:r>
        <w:rPr>
          <w:rFonts w:ascii="Arial" w:eastAsia="Times New Roman" w:hAnsi="Arial" w:cs="Arial"/>
          <w:color w:val="000000"/>
        </w:rPr>
        <w:t xml:space="preserve">are </w:t>
      </w:r>
      <w:r w:rsidR="002873A7">
        <w:rPr>
          <w:rFonts w:ascii="Arial" w:eastAsia="Times New Roman" w:hAnsi="Arial" w:cs="Arial"/>
          <w:color w:val="000000"/>
        </w:rPr>
        <w:t xml:space="preserve">also </w:t>
      </w:r>
      <w:r>
        <w:rPr>
          <w:rFonts w:ascii="Arial" w:eastAsia="Times New Roman" w:hAnsi="Arial" w:cs="Arial"/>
          <w:color w:val="000000"/>
        </w:rPr>
        <w:t xml:space="preserve">on the rise once again </w:t>
      </w:r>
      <w:r w:rsidR="00C77877" w:rsidRPr="00C77877">
        <w:rPr>
          <w:rFonts w:ascii="Arial" w:eastAsia="Times New Roman" w:hAnsi="Arial" w:cs="Arial"/>
          <w:color w:val="000000"/>
        </w:rPr>
        <w:t xml:space="preserve">with </w:t>
      </w:r>
      <w:r>
        <w:rPr>
          <w:rFonts w:ascii="Arial" w:eastAsia="Times New Roman" w:hAnsi="Arial" w:cs="Arial"/>
          <w:color w:val="000000"/>
        </w:rPr>
        <w:t xml:space="preserve">China at loggerheads with </w:t>
      </w:r>
      <w:r w:rsidR="00C77877" w:rsidRPr="00C77877">
        <w:rPr>
          <w:rFonts w:ascii="Arial" w:eastAsia="Times New Roman" w:hAnsi="Arial" w:cs="Arial"/>
          <w:color w:val="000000"/>
        </w:rPr>
        <w:t>the US over Taiwan</w:t>
      </w:r>
      <w:r>
        <w:rPr>
          <w:rFonts w:ascii="Arial" w:eastAsia="Times New Roman" w:hAnsi="Arial" w:cs="Arial"/>
          <w:color w:val="000000"/>
        </w:rPr>
        <w:t xml:space="preserve">, and </w:t>
      </w:r>
      <w:r w:rsidR="00C77877" w:rsidRPr="00C77877">
        <w:rPr>
          <w:rFonts w:ascii="Arial" w:eastAsia="Times New Roman" w:hAnsi="Arial" w:cs="Arial"/>
          <w:color w:val="000000"/>
        </w:rPr>
        <w:t xml:space="preserve">not likely to subside anytime soon. </w:t>
      </w:r>
    </w:p>
    <w:p w14:paraId="799BB293" w14:textId="651EBB0B" w:rsidR="00B53079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29F3D9" w14:textId="46B6117A" w:rsidR="00C77877" w:rsidRPr="00C77877" w:rsidRDefault="00B53079" w:rsidP="00B5307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s</w:t>
      </w:r>
      <w:r w:rsidR="00C77877" w:rsidRPr="00C77877">
        <w:rPr>
          <w:rFonts w:ascii="Arial" w:eastAsia="Times New Roman" w:hAnsi="Arial" w:cs="Arial"/>
          <w:color w:val="000000"/>
        </w:rPr>
        <w:t xml:space="preserve">tay defensive </w:t>
      </w:r>
      <w:r w:rsidR="002B2348">
        <w:rPr>
          <w:rFonts w:ascii="Arial" w:eastAsia="Times New Roman" w:hAnsi="Arial" w:cs="Arial"/>
          <w:color w:val="000000"/>
        </w:rPr>
        <w:t xml:space="preserve">in the portfolio </w:t>
      </w:r>
      <w:r w:rsidR="00C77877" w:rsidRPr="00C77877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 xml:space="preserve">have </w:t>
      </w:r>
      <w:r w:rsidR="00C77877" w:rsidRPr="00C77877">
        <w:rPr>
          <w:rFonts w:ascii="Arial" w:eastAsia="Times New Roman" w:hAnsi="Arial" w:cs="Arial"/>
          <w:color w:val="000000"/>
        </w:rPr>
        <w:t>prepare</w:t>
      </w:r>
      <w:r>
        <w:rPr>
          <w:rFonts w:ascii="Arial" w:eastAsia="Times New Roman" w:hAnsi="Arial" w:cs="Arial"/>
          <w:color w:val="000000"/>
        </w:rPr>
        <w:t>d</w:t>
      </w:r>
      <w:r w:rsidR="00C77877" w:rsidRPr="00C77877">
        <w:rPr>
          <w:rFonts w:ascii="Arial" w:eastAsia="Times New Roman" w:hAnsi="Arial" w:cs="Arial"/>
          <w:color w:val="000000"/>
        </w:rPr>
        <w:t xml:space="preserve"> for </w:t>
      </w:r>
      <w:r>
        <w:rPr>
          <w:rFonts w:ascii="Arial" w:eastAsia="Times New Roman" w:hAnsi="Arial" w:cs="Arial"/>
          <w:color w:val="000000"/>
        </w:rPr>
        <w:t xml:space="preserve">volatility directly ahead but also potential </w:t>
      </w:r>
      <w:r w:rsidR="00C77877" w:rsidRPr="00C77877">
        <w:rPr>
          <w:rFonts w:ascii="Arial" w:eastAsia="Times New Roman" w:hAnsi="Arial" w:cs="Arial"/>
          <w:color w:val="000000"/>
        </w:rPr>
        <w:t>opportunity</w:t>
      </w:r>
      <w:r>
        <w:rPr>
          <w:rFonts w:ascii="Arial" w:eastAsia="Times New Roman" w:hAnsi="Arial" w:cs="Arial"/>
          <w:color w:val="000000"/>
        </w:rPr>
        <w:t xml:space="preserve">. We </w:t>
      </w:r>
      <w:r w:rsidR="002B2348">
        <w:rPr>
          <w:rFonts w:ascii="Arial" w:eastAsia="Times New Roman" w:hAnsi="Arial" w:cs="Arial"/>
          <w:color w:val="000000"/>
        </w:rPr>
        <w:t xml:space="preserve">have taken </w:t>
      </w:r>
      <w:r>
        <w:rPr>
          <w:rFonts w:ascii="Arial" w:eastAsia="Times New Roman" w:hAnsi="Arial" w:cs="Arial"/>
          <w:color w:val="000000"/>
        </w:rPr>
        <w:t xml:space="preserve">advantage of the </w:t>
      </w:r>
      <w:r w:rsidR="002B2348">
        <w:rPr>
          <w:rFonts w:ascii="Arial" w:eastAsia="Times New Roman" w:hAnsi="Arial" w:cs="Arial"/>
          <w:color w:val="000000"/>
        </w:rPr>
        <w:t xml:space="preserve">recent </w:t>
      </w:r>
      <w:r>
        <w:rPr>
          <w:rFonts w:ascii="Arial" w:eastAsia="Times New Roman" w:hAnsi="Arial" w:cs="Arial"/>
          <w:color w:val="000000"/>
        </w:rPr>
        <w:t>rebound in stocks to further reduce risk and raise liquidity</w:t>
      </w:r>
      <w:r w:rsidR="002B2348">
        <w:rPr>
          <w:rFonts w:ascii="Arial" w:eastAsia="Times New Roman" w:hAnsi="Arial" w:cs="Arial"/>
          <w:color w:val="000000"/>
        </w:rPr>
        <w:t xml:space="preserve"> levels</w:t>
      </w:r>
      <w:r>
        <w:rPr>
          <w:rFonts w:ascii="Arial" w:eastAsia="Times New Roman" w:hAnsi="Arial" w:cs="Arial"/>
          <w:color w:val="000000"/>
        </w:rPr>
        <w:t>.</w:t>
      </w:r>
    </w:p>
    <w:p w14:paraId="62FB3C66" w14:textId="77777777" w:rsidR="00C77877" w:rsidRPr="00C77877" w:rsidRDefault="00C77877" w:rsidP="00592FC4">
      <w:pPr>
        <w:rPr>
          <w:rFonts w:ascii="Arial" w:eastAsia="Calibri" w:hAnsi="Arial" w:cs="Arial"/>
          <w:color w:val="000000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3402"/>
        <w:gridCol w:w="3219"/>
      </w:tblGrid>
      <w:tr w:rsidR="00220F83" w:rsidRPr="00CE42C6" w14:paraId="4A54B1BE" w14:textId="77777777" w:rsidTr="00AA5B19">
        <w:trPr>
          <w:trHeight w:val="60"/>
        </w:trPr>
        <w:tc>
          <w:tcPr>
            <w:tcW w:w="9740" w:type="dxa"/>
            <w:gridSpan w:val="3"/>
            <w:shd w:val="clear" w:color="auto" w:fill="F7CAAC" w:themeFill="accent2" w:themeFillTint="66"/>
            <w:vAlign w:val="center"/>
          </w:tcPr>
          <w:p w14:paraId="729322E0" w14:textId="1AB262CC" w:rsidR="009C18AC" w:rsidRDefault="009C18AC" w:rsidP="00517AE6">
            <w:pPr>
              <w:rPr>
                <w:rFonts w:ascii="Arial" w:hAnsi="Arial" w:cs="Arial"/>
                <w:b/>
                <w:bCs/>
                <w:color w:val="DC6800"/>
                <w:sz w:val="32"/>
                <w:szCs w:val="32"/>
              </w:rPr>
            </w:pPr>
          </w:p>
          <w:p w14:paraId="598B2699" w14:textId="006B0D31" w:rsidR="00220F83" w:rsidRPr="00CE42C6" w:rsidRDefault="00220F83" w:rsidP="00517AE6">
            <w:pPr>
              <w:rPr>
                <w:rFonts w:ascii="Arial" w:hAnsi="Arial" w:cs="Arial"/>
                <w:b/>
                <w:bCs/>
                <w:color w:val="DC6800"/>
                <w:sz w:val="32"/>
                <w:szCs w:val="32"/>
              </w:rPr>
            </w:pPr>
            <w:r w:rsidRPr="00CE42C6">
              <w:rPr>
                <w:rFonts w:ascii="Arial" w:hAnsi="Arial" w:cs="Arial"/>
                <w:b/>
                <w:bCs/>
                <w:color w:val="DC6800"/>
                <w:sz w:val="32"/>
                <w:szCs w:val="32"/>
              </w:rPr>
              <w:t>KEY METRICS</w:t>
            </w:r>
          </w:p>
        </w:tc>
      </w:tr>
      <w:tr w:rsidR="00D63675" w:rsidRPr="00CE42C6" w14:paraId="52688217" w14:textId="77777777" w:rsidTr="00153345">
        <w:trPr>
          <w:trHeight w:val="60"/>
        </w:trPr>
        <w:tc>
          <w:tcPr>
            <w:tcW w:w="3119" w:type="dxa"/>
            <w:tcBorders>
              <w:bottom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2E33B106" w14:textId="0287F675" w:rsidR="00D63675" w:rsidRPr="00CE42C6" w:rsidRDefault="00D63675" w:rsidP="00104915">
            <w:pPr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</w:pPr>
            <w:r w:rsidRPr="00CE42C6"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  <w:t>Gross Assets</w:t>
            </w:r>
          </w:p>
        </w:tc>
        <w:tc>
          <w:tcPr>
            <w:tcW w:w="3402" w:type="dxa"/>
            <w:tcBorders>
              <w:bottom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101AF558" w14:textId="5A3A2393" w:rsidR="00D63675" w:rsidRPr="00CE42C6" w:rsidRDefault="00192165" w:rsidP="00104915">
            <w:pPr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  <w:t>Cash</w:t>
            </w:r>
          </w:p>
        </w:tc>
        <w:tc>
          <w:tcPr>
            <w:tcW w:w="3219" w:type="dxa"/>
            <w:tcBorders>
              <w:bottom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360E52B9" w14:textId="77777777" w:rsidR="00984CF2" w:rsidRPr="00CE42C6" w:rsidRDefault="00984CF2" w:rsidP="00984CF2">
            <w:pPr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</w:pPr>
            <w:r w:rsidRPr="00CE42C6"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  <w:t xml:space="preserve">Trailing 12 month </w:t>
            </w:r>
          </w:p>
          <w:p w14:paraId="153FFA0D" w14:textId="5E885DA5" w:rsidR="00D63675" w:rsidRPr="00CE42C6" w:rsidRDefault="00984CF2" w:rsidP="00984CF2">
            <w:pPr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</w:pPr>
            <w:r w:rsidRPr="00CE42C6">
              <w:rPr>
                <w:rFonts w:ascii="Arial" w:hAnsi="Arial" w:cs="Arial"/>
                <w:b/>
                <w:bCs/>
                <w:color w:val="DC6800"/>
                <w:sz w:val="24"/>
                <w:szCs w:val="24"/>
              </w:rPr>
              <w:t>Dividend Yield (FF)</w:t>
            </w:r>
          </w:p>
        </w:tc>
      </w:tr>
      <w:tr w:rsidR="00D63675" w:rsidRPr="00CE42C6" w14:paraId="26E2499E" w14:textId="77777777" w:rsidTr="00153345">
        <w:trPr>
          <w:trHeight w:val="60"/>
        </w:trPr>
        <w:tc>
          <w:tcPr>
            <w:tcW w:w="3119" w:type="dxa"/>
            <w:tcBorders>
              <w:top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0E537D22" w14:textId="1B1C4D9C" w:rsidR="00D63675" w:rsidRPr="00CE42C6" w:rsidRDefault="00D63675" w:rsidP="00984CF2">
            <w:pPr>
              <w:spacing w:before="24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CE42C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$</w:t>
            </w:r>
            <w:r w:rsidR="007C73E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39.</w:t>
            </w:r>
            <w:r w:rsidR="004A2D5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9</w:t>
            </w:r>
            <w:r w:rsidR="00924B6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9</w:t>
            </w:r>
            <w:r w:rsidRPr="00CE42C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</w:t>
            </w:r>
          </w:p>
        </w:tc>
        <w:tc>
          <w:tcPr>
            <w:tcW w:w="3402" w:type="dxa"/>
            <w:tcBorders>
              <w:top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33F42D7C" w14:textId="0A0702C5" w:rsidR="00D63675" w:rsidRPr="00CE42C6" w:rsidRDefault="004A2D5F" w:rsidP="00984CF2">
            <w:pPr>
              <w:spacing w:before="24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54.02</w:t>
            </w:r>
            <w:r w:rsidR="00D63675" w:rsidRPr="00CE42C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%</w:t>
            </w:r>
          </w:p>
        </w:tc>
        <w:tc>
          <w:tcPr>
            <w:tcW w:w="3219" w:type="dxa"/>
            <w:tcBorders>
              <w:top w:val="single" w:sz="12" w:space="0" w:color="ED7D31" w:themeColor="accent2"/>
            </w:tcBorders>
            <w:shd w:val="clear" w:color="auto" w:fill="F7CAAC" w:themeFill="accent2" w:themeFillTint="66"/>
          </w:tcPr>
          <w:p w14:paraId="5ABD2FDE" w14:textId="26BCCFC1" w:rsidR="00D63675" w:rsidRPr="00CE42C6" w:rsidRDefault="001B1059" w:rsidP="00984CF2">
            <w:pPr>
              <w:spacing w:before="240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8.</w:t>
            </w:r>
            <w:r w:rsidR="004A2D5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33</w:t>
            </w:r>
            <w:r w:rsidR="00583CE6" w:rsidRPr="00CE42C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%</w:t>
            </w:r>
          </w:p>
        </w:tc>
      </w:tr>
    </w:tbl>
    <w:p w14:paraId="72D8279C" w14:textId="77777777" w:rsidR="00F47DCE" w:rsidRDefault="00F47DCE" w:rsidP="00B22418">
      <w:pPr>
        <w:rPr>
          <w:rFonts w:ascii="Arial" w:hAnsi="Arial" w:cs="Arial"/>
          <w:b/>
          <w:bCs/>
          <w:color w:val="DC6800"/>
          <w:sz w:val="28"/>
          <w:szCs w:val="28"/>
        </w:rPr>
      </w:pPr>
    </w:p>
    <w:p w14:paraId="6DCAE1CF" w14:textId="7BD37250" w:rsidR="00093685" w:rsidRPr="00CE42C6" w:rsidRDefault="001753BB" w:rsidP="00B22418">
      <w:pPr>
        <w:rPr>
          <w:rFonts w:ascii="Arial" w:hAnsi="Arial" w:cs="Arial"/>
          <w:b/>
          <w:bCs/>
          <w:color w:val="DC6800"/>
          <w:sz w:val="28"/>
          <w:szCs w:val="28"/>
        </w:rPr>
      </w:pPr>
      <w:r w:rsidRPr="005079D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D9CF3A" wp14:editId="5E1E4077">
                <wp:simplePos x="0" y="0"/>
                <wp:positionH relativeFrom="page">
                  <wp:align>left</wp:align>
                </wp:positionH>
                <wp:positionV relativeFrom="paragraph">
                  <wp:posOffset>-37465</wp:posOffset>
                </wp:positionV>
                <wp:extent cx="492125" cy="281305"/>
                <wp:effectExtent l="0" t="27940" r="32385" b="32385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2125" cy="2813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25B0B" id="Isosceles Triangle 41" o:spid="_x0000_s1026" type="#_x0000_t5" style="position:absolute;margin-left:0;margin-top:-2.95pt;width:38.75pt;height:22.15pt;rotation:90;z-index:251658241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" fillcolor="#ed7d31 [3205]" strokecolor="#823b0b [1605]" strokeweight="1pt">
                <w10:wrap anchorx="page"/>
              </v:shape>
            </w:pict>
          </mc:Fallback>
        </mc:AlternateContent>
      </w:r>
      <w:r w:rsidR="00FC6EFF" w:rsidRPr="00CE42C6">
        <w:rPr>
          <w:rFonts w:ascii="Arial" w:hAnsi="Arial" w:cs="Arial"/>
          <w:b/>
          <w:bCs/>
          <w:color w:val="DC6800"/>
          <w:sz w:val="28"/>
          <w:szCs w:val="28"/>
        </w:rPr>
        <w:t>POSITIVE ATTRIBUTIONS</w:t>
      </w:r>
    </w:p>
    <w:p w14:paraId="04F9CB85" w14:textId="77777777" w:rsidR="00AD7275" w:rsidRDefault="00F47DCE" w:rsidP="00FE64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4" behindDoc="0" locked="0" layoutInCell="1" allowOverlap="1" wp14:anchorId="0A2AFCC1" wp14:editId="75810A8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528060" cy="1932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7F" w:rsidRPr="00FE64E7">
        <w:rPr>
          <w:rFonts w:ascii="Arial" w:hAnsi="Arial" w:cs="Arial"/>
        </w:rPr>
        <w:t xml:space="preserve">The largest positive attribution </w:t>
      </w:r>
      <w:r w:rsidR="00247BD3" w:rsidRPr="00FE64E7">
        <w:rPr>
          <w:rFonts w:ascii="Arial" w:hAnsi="Arial" w:cs="Arial"/>
        </w:rPr>
        <w:t xml:space="preserve">in </w:t>
      </w:r>
      <w:r w:rsidR="00582A0D">
        <w:rPr>
          <w:rFonts w:ascii="Arial" w:hAnsi="Arial" w:cs="Arial"/>
        </w:rPr>
        <w:t>Ju</w:t>
      </w:r>
      <w:r w:rsidR="00AD7275">
        <w:rPr>
          <w:rFonts w:ascii="Arial" w:hAnsi="Arial" w:cs="Arial"/>
        </w:rPr>
        <w:t>ly</w:t>
      </w:r>
      <w:r w:rsidR="00582A0D">
        <w:rPr>
          <w:rFonts w:ascii="Arial" w:hAnsi="Arial" w:cs="Arial"/>
        </w:rPr>
        <w:t xml:space="preserve"> was </w:t>
      </w:r>
      <w:r w:rsidR="00AD7275">
        <w:rPr>
          <w:rFonts w:ascii="Arial" w:hAnsi="Arial" w:cs="Arial"/>
        </w:rPr>
        <w:t xml:space="preserve">from </w:t>
      </w:r>
      <w:r w:rsidR="00AD7275" w:rsidRPr="00AD7275">
        <w:rPr>
          <w:rFonts w:ascii="Arial" w:hAnsi="Arial" w:cs="Arial"/>
          <w:b/>
          <w:bCs/>
        </w:rPr>
        <w:t>Praemium</w:t>
      </w:r>
      <w:r w:rsidR="00AD7275">
        <w:rPr>
          <w:rFonts w:ascii="Arial" w:hAnsi="Arial" w:cs="Arial"/>
          <w:b/>
          <w:bCs/>
        </w:rPr>
        <w:t xml:space="preserve"> </w:t>
      </w:r>
      <w:r w:rsidR="00AD7275">
        <w:rPr>
          <w:rFonts w:ascii="Arial" w:hAnsi="Arial" w:cs="Arial"/>
        </w:rPr>
        <w:t xml:space="preserve">after the sale of the UK business facilitated a buyback and special dividend. </w:t>
      </w:r>
      <w:r w:rsidR="00AD7275" w:rsidRPr="00AD7275">
        <w:rPr>
          <w:rFonts w:ascii="Arial" w:hAnsi="Arial" w:cs="Arial"/>
          <w:b/>
          <w:bCs/>
        </w:rPr>
        <w:t>Powerhouse</w:t>
      </w:r>
      <w:r w:rsidR="00AD7275">
        <w:rPr>
          <w:rFonts w:ascii="Arial" w:hAnsi="Arial" w:cs="Arial"/>
        </w:rPr>
        <w:t xml:space="preserve"> rebounded from oversold levels, whilst </w:t>
      </w:r>
      <w:r w:rsidR="00AD7275" w:rsidRPr="00AD7275">
        <w:rPr>
          <w:rFonts w:ascii="Arial" w:hAnsi="Arial" w:cs="Arial"/>
          <w:b/>
          <w:bCs/>
        </w:rPr>
        <w:t>Collins Foods</w:t>
      </w:r>
      <w:r w:rsidR="00AD7275">
        <w:rPr>
          <w:rFonts w:ascii="Arial" w:hAnsi="Arial" w:cs="Arial"/>
        </w:rPr>
        <w:t xml:space="preserve"> rallied after solid profit results and a general market rotation back to growth. </w:t>
      </w:r>
      <w:r w:rsidR="00AD7275" w:rsidRPr="002B2348">
        <w:rPr>
          <w:rFonts w:ascii="Arial" w:hAnsi="Arial" w:cs="Arial"/>
          <w:b/>
          <w:bCs/>
        </w:rPr>
        <w:t>Zozo</w:t>
      </w:r>
      <w:r w:rsidR="00AD7275">
        <w:rPr>
          <w:rFonts w:ascii="Arial" w:hAnsi="Arial" w:cs="Arial"/>
        </w:rPr>
        <w:t xml:space="preserve"> beat consensus profit estimates.</w:t>
      </w:r>
    </w:p>
    <w:p w14:paraId="18130497" w14:textId="77777777" w:rsidR="00AD7275" w:rsidRDefault="00AD7275" w:rsidP="00FE64E7">
      <w:pPr>
        <w:jc w:val="both"/>
        <w:rPr>
          <w:rFonts w:ascii="Arial" w:hAnsi="Arial" w:cs="Arial"/>
        </w:rPr>
      </w:pPr>
    </w:p>
    <w:p w14:paraId="1B45BC56" w14:textId="7E016F2D" w:rsidR="00FC6EFF" w:rsidRPr="00FE64E7" w:rsidRDefault="00963373" w:rsidP="00FE6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6EFF" w:rsidRPr="00FE64E7">
        <w:rPr>
          <w:rFonts w:ascii="Arial" w:hAnsi="Arial" w:cs="Arial"/>
        </w:rPr>
        <w:t xml:space="preserve">   </w:t>
      </w:r>
    </w:p>
    <w:p w14:paraId="69B77957" w14:textId="027500D3" w:rsidR="00B22418" w:rsidRPr="00CE42C6" w:rsidRDefault="00FD0738" w:rsidP="00FC6EFF">
      <w:pPr>
        <w:rPr>
          <w:rFonts w:ascii="Arial" w:hAnsi="Arial" w:cs="Arial"/>
          <w:b/>
          <w:bCs/>
          <w:color w:val="DC6800"/>
          <w:sz w:val="28"/>
          <w:szCs w:val="2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8" behindDoc="0" locked="0" layoutInCell="1" allowOverlap="1" wp14:anchorId="1C5AA14E" wp14:editId="5DAD4264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3649980" cy="192786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B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76CF0D" wp14:editId="05610FFF">
                <wp:simplePos x="0" y="0"/>
                <wp:positionH relativeFrom="page">
                  <wp:align>left</wp:align>
                </wp:positionH>
                <wp:positionV relativeFrom="paragraph">
                  <wp:posOffset>37465</wp:posOffset>
                </wp:positionV>
                <wp:extent cx="492125" cy="281305"/>
                <wp:effectExtent l="0" t="27940" r="32385" b="3238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2125" cy="2813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F5B36" id="Isosceles Triangle 42" o:spid="_x0000_s1026" type="#_x0000_t5" style="position:absolute;margin-left:0;margin-top:2.95pt;width:38.75pt;height:22.15pt;rotation:90;z-index:25165824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" fillcolor="#ed7d31 [3205]" strokecolor="#823b0b [1605]" strokeweight="1pt">
                <w10:wrap anchorx="page"/>
              </v:shape>
            </w:pict>
          </mc:Fallback>
        </mc:AlternateContent>
      </w:r>
      <w:r w:rsidR="00B22418" w:rsidRPr="00CE42C6">
        <w:rPr>
          <w:rFonts w:ascii="Arial" w:hAnsi="Arial" w:cs="Arial"/>
          <w:b/>
          <w:bCs/>
          <w:color w:val="DC6800"/>
          <w:sz w:val="28"/>
          <w:szCs w:val="28"/>
        </w:rPr>
        <w:t xml:space="preserve">NEGATIVE </w:t>
      </w:r>
      <w:r w:rsidR="00FE64E7" w:rsidRPr="00CE42C6">
        <w:rPr>
          <w:rFonts w:ascii="Arial" w:hAnsi="Arial" w:cs="Arial"/>
          <w:b/>
          <w:bCs/>
          <w:color w:val="DC6800"/>
          <w:sz w:val="28"/>
          <w:szCs w:val="28"/>
        </w:rPr>
        <w:t>AT</w:t>
      </w:r>
      <w:r w:rsidR="00B22418" w:rsidRPr="00CE42C6">
        <w:rPr>
          <w:rFonts w:ascii="Arial" w:hAnsi="Arial" w:cs="Arial"/>
          <w:b/>
          <w:bCs/>
          <w:color w:val="DC6800"/>
          <w:sz w:val="28"/>
          <w:szCs w:val="28"/>
        </w:rPr>
        <w:t>TRIBUTIONS</w:t>
      </w:r>
    </w:p>
    <w:p w14:paraId="3EB6F2F8" w14:textId="7DDC2C45" w:rsidR="00FC5AC1" w:rsidRDefault="00AD7275" w:rsidP="00FE64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Dai-Ichi Life and QBE Insurance </w:t>
      </w:r>
      <w:r>
        <w:rPr>
          <w:rFonts w:ascii="Arial" w:hAnsi="Arial" w:cs="Arial"/>
        </w:rPr>
        <w:t xml:space="preserve">weighed on the portfolio </w:t>
      </w:r>
      <w:r w:rsidR="004C7E40">
        <w:rPr>
          <w:rFonts w:ascii="Arial" w:hAnsi="Arial" w:cs="Arial"/>
        </w:rPr>
        <w:t xml:space="preserve">after bond yields fell pressuring investment income. </w:t>
      </w:r>
      <w:r w:rsidR="004C7E40">
        <w:rPr>
          <w:rFonts w:ascii="Arial" w:hAnsi="Arial" w:cs="Arial"/>
          <w:b/>
          <w:bCs/>
        </w:rPr>
        <w:t xml:space="preserve">Sands China </w:t>
      </w:r>
      <w:r w:rsidR="004C7E40">
        <w:rPr>
          <w:rFonts w:ascii="Arial" w:hAnsi="Arial" w:cs="Arial"/>
        </w:rPr>
        <w:t xml:space="preserve">was impacted by outbreaks of covid and ongoing restrictions. </w:t>
      </w:r>
      <w:r w:rsidR="004C7E40">
        <w:rPr>
          <w:rFonts w:ascii="Arial" w:hAnsi="Arial" w:cs="Arial"/>
          <w:b/>
          <w:bCs/>
        </w:rPr>
        <w:t xml:space="preserve">Rio Tinto and BHP </w:t>
      </w:r>
      <w:r w:rsidR="004C7E40">
        <w:rPr>
          <w:rFonts w:ascii="Arial" w:hAnsi="Arial" w:cs="Arial"/>
        </w:rPr>
        <w:t>traded lower on falling iron ore and copper prices.</w:t>
      </w:r>
      <w:r w:rsidR="00AA6CC8">
        <w:rPr>
          <w:rFonts w:ascii="Arial" w:hAnsi="Arial" w:cs="Arial"/>
        </w:rPr>
        <w:t xml:space="preserve"> </w:t>
      </w:r>
    </w:p>
    <w:p w14:paraId="78218612" w14:textId="77777777" w:rsidR="009E6B14" w:rsidRDefault="009E6B14" w:rsidP="00FE64E7">
      <w:pPr>
        <w:jc w:val="both"/>
        <w:rPr>
          <w:rFonts w:ascii="Arial" w:hAnsi="Arial" w:cs="Arial"/>
        </w:rPr>
      </w:pPr>
    </w:p>
    <w:p w14:paraId="4E1686F6" w14:textId="77777777" w:rsidR="009E6B14" w:rsidRDefault="009E6B14" w:rsidP="00FE64E7">
      <w:pPr>
        <w:jc w:val="both"/>
        <w:rPr>
          <w:rFonts w:ascii="Arial" w:hAnsi="Arial" w:cs="Arial"/>
        </w:rPr>
      </w:pPr>
    </w:p>
    <w:p w14:paraId="4B4CAD00" w14:textId="77777777" w:rsidR="009E6B14" w:rsidRDefault="009E6B14" w:rsidP="00FE64E7">
      <w:pPr>
        <w:jc w:val="both"/>
        <w:rPr>
          <w:rFonts w:ascii="Arial" w:hAnsi="Arial" w:cs="Arial"/>
        </w:rPr>
      </w:pPr>
    </w:p>
    <w:p w14:paraId="22FDEAAC" w14:textId="77777777" w:rsidR="009E6B14" w:rsidRDefault="009E6B14" w:rsidP="00FE64E7">
      <w:pPr>
        <w:jc w:val="both"/>
        <w:rPr>
          <w:rFonts w:ascii="Arial" w:hAnsi="Arial" w:cs="Arial"/>
        </w:rPr>
      </w:pPr>
    </w:p>
    <w:p w14:paraId="33433DE9" w14:textId="77777777" w:rsidR="009E6B14" w:rsidRDefault="009E6B14" w:rsidP="00FE64E7">
      <w:pPr>
        <w:jc w:val="both"/>
        <w:rPr>
          <w:rFonts w:ascii="Arial" w:hAnsi="Arial" w:cs="Arial"/>
        </w:rPr>
      </w:pPr>
    </w:p>
    <w:p w14:paraId="78B63E9C" w14:textId="77777777" w:rsidR="009E6B14" w:rsidRDefault="009E6B14" w:rsidP="00FE64E7">
      <w:pPr>
        <w:jc w:val="both"/>
        <w:rPr>
          <w:rFonts w:ascii="Arial" w:hAnsi="Arial" w:cs="Arial"/>
        </w:rPr>
      </w:pPr>
    </w:p>
    <w:p w14:paraId="04BD6562" w14:textId="77777777" w:rsidR="009E6B14" w:rsidRDefault="009E6B14" w:rsidP="00FE64E7">
      <w:pPr>
        <w:jc w:val="both"/>
        <w:rPr>
          <w:rFonts w:ascii="Arial" w:hAnsi="Arial" w:cs="Arial"/>
        </w:rPr>
      </w:pPr>
    </w:p>
    <w:p w14:paraId="630DB205" w14:textId="77777777" w:rsidR="009E6B14" w:rsidRDefault="009E6B14" w:rsidP="00FE64E7">
      <w:pPr>
        <w:jc w:val="both"/>
        <w:rPr>
          <w:rFonts w:ascii="Arial" w:hAnsi="Arial" w:cs="Arial"/>
        </w:rPr>
      </w:pPr>
    </w:p>
    <w:p w14:paraId="35EB29E8" w14:textId="77777777" w:rsidR="00FD0738" w:rsidRDefault="00FD0738" w:rsidP="00FE64E7">
      <w:pPr>
        <w:jc w:val="both"/>
        <w:rPr>
          <w:rFonts w:ascii="Arial" w:hAnsi="Arial" w:cs="Arial"/>
        </w:rPr>
      </w:pPr>
    </w:p>
    <w:p w14:paraId="72F90DC0" w14:textId="77777777" w:rsidR="00E60223" w:rsidRDefault="00E60223" w:rsidP="00FE64E7">
      <w:pPr>
        <w:jc w:val="both"/>
        <w:rPr>
          <w:rFonts w:ascii="Arial" w:hAnsi="Arial" w:cs="Arial"/>
        </w:rPr>
      </w:pPr>
    </w:p>
    <w:p w14:paraId="459D15AD" w14:textId="77777777" w:rsidR="00FC5AC1" w:rsidRPr="00FC5AC1" w:rsidRDefault="00B81425" w:rsidP="00FC5AC1">
      <w:pPr>
        <w:rPr>
          <w:b/>
          <w:bCs/>
          <w:color w:val="DC68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529C38" wp14:editId="123FBE21">
                <wp:simplePos x="0" y="0"/>
                <wp:positionH relativeFrom="column">
                  <wp:posOffset>-791210</wp:posOffset>
                </wp:positionH>
                <wp:positionV relativeFrom="paragraph">
                  <wp:posOffset>-34241</wp:posOffset>
                </wp:positionV>
                <wp:extent cx="492125" cy="281305"/>
                <wp:effectExtent l="0" t="27940" r="32385" b="3238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2125" cy="2813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ECBE" id="Isosceles Triangle 43" o:spid="_x0000_s1026" type="#_x0000_t5" style="position:absolute;margin-left:-62.3pt;margin-top:-2.7pt;width:38.75pt;height:22.15pt;rotation:9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" fillcolor="#ed7d31 [3205]" strokecolor="#823b0b [1605]" strokeweight="1pt"/>
            </w:pict>
          </mc:Fallback>
        </mc:AlternateContent>
      </w:r>
      <w:r w:rsidR="00FC5AC1" w:rsidRPr="00FC5AC1">
        <w:rPr>
          <w:b/>
          <w:bCs/>
          <w:color w:val="DC6800"/>
          <w:sz w:val="28"/>
          <w:szCs w:val="28"/>
        </w:rPr>
        <w:t>T</w:t>
      </w:r>
      <w:r w:rsidR="00DC1714">
        <w:rPr>
          <w:b/>
          <w:bCs/>
          <w:color w:val="DC6800"/>
          <w:sz w:val="28"/>
          <w:szCs w:val="28"/>
        </w:rPr>
        <w:t>OP 10 HOLDINGS</w:t>
      </w:r>
      <w:r w:rsidR="00DC1714">
        <w:rPr>
          <w:b/>
          <w:bCs/>
          <w:color w:val="DC6800"/>
          <w:sz w:val="28"/>
          <w:szCs w:val="28"/>
        </w:rPr>
        <w:tab/>
      </w:r>
    </w:p>
    <w:tbl>
      <w:tblPr>
        <w:tblStyle w:val="GridTable4-Accent2"/>
        <w:tblW w:w="8950" w:type="dxa"/>
        <w:jc w:val="center"/>
        <w:tblLook w:val="04A0" w:firstRow="1" w:lastRow="0" w:firstColumn="1" w:lastColumn="0" w:noHBand="0" w:noVBand="1"/>
      </w:tblPr>
      <w:tblGrid>
        <w:gridCol w:w="3847"/>
        <w:gridCol w:w="1843"/>
        <w:gridCol w:w="3260"/>
      </w:tblGrid>
      <w:tr w:rsidR="00FC5AC1" w:rsidRPr="00E60223" w14:paraId="5976820E" w14:textId="77777777" w:rsidTr="0029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  <w:hideMark/>
          </w:tcPr>
          <w:p w14:paraId="36556D9B" w14:textId="77777777" w:rsidR="00FC5AC1" w:rsidRPr="00E60223" w:rsidRDefault="00FC5AC1" w:rsidP="00FE303B">
            <w:pPr>
              <w:rPr>
                <w:rFonts w:ascii="Arial" w:hAnsi="Arial" w:cs="Arial"/>
                <w:color w:val="auto"/>
              </w:rPr>
            </w:pPr>
            <w:r w:rsidRPr="00E60223">
              <w:rPr>
                <w:rFonts w:ascii="Arial" w:hAnsi="Arial" w:cs="Arial"/>
                <w:color w:val="auto"/>
              </w:rPr>
              <w:t>Top 10 Holdings</w:t>
            </w:r>
          </w:p>
        </w:tc>
        <w:tc>
          <w:tcPr>
            <w:tcW w:w="1843" w:type="dxa"/>
          </w:tcPr>
          <w:p w14:paraId="065AB265" w14:textId="77777777" w:rsidR="00FC5AC1" w:rsidRPr="00E60223" w:rsidRDefault="00FC5AC1" w:rsidP="00FE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 xml:space="preserve">Country </w:t>
            </w:r>
          </w:p>
        </w:tc>
        <w:tc>
          <w:tcPr>
            <w:tcW w:w="3260" w:type="dxa"/>
            <w:noWrap/>
            <w:hideMark/>
          </w:tcPr>
          <w:p w14:paraId="607A936C" w14:textId="7D70F989" w:rsidR="00FC5AC1" w:rsidRPr="00E60223" w:rsidRDefault="00F02D1E" w:rsidP="00FE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31 July</w:t>
            </w:r>
            <w:r w:rsidR="00FC5AC1" w:rsidRPr="00E60223">
              <w:rPr>
                <w:rFonts w:ascii="Arial" w:eastAsia="Times New Roman" w:hAnsi="Arial" w:cs="Arial"/>
                <w:color w:val="000000"/>
                <w:lang w:eastAsia="en-AU"/>
              </w:rPr>
              <w:t xml:space="preserve"> 2022</w:t>
            </w:r>
          </w:p>
        </w:tc>
      </w:tr>
      <w:tr w:rsidR="00F02D1E" w:rsidRPr="00E60223" w14:paraId="5BC75BC4" w14:textId="77777777" w:rsidTr="0029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32683B8A" w14:textId="453E99DE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Collins Foods Ltd</w:t>
            </w:r>
          </w:p>
        </w:tc>
        <w:tc>
          <w:tcPr>
            <w:tcW w:w="1843" w:type="dxa"/>
          </w:tcPr>
          <w:p w14:paraId="63C0D88D" w14:textId="72404B88" w:rsidR="00F02D1E" w:rsidRPr="00E60223" w:rsidRDefault="00F02D1E" w:rsidP="00F0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  <w:tc>
          <w:tcPr>
            <w:tcW w:w="3260" w:type="dxa"/>
            <w:noWrap/>
          </w:tcPr>
          <w:p w14:paraId="784074A2" w14:textId="25B869DC" w:rsidR="00F02D1E" w:rsidRPr="00E60223" w:rsidRDefault="004E1D8E" w:rsidP="00F0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5.18%</w:t>
            </w:r>
          </w:p>
        </w:tc>
      </w:tr>
      <w:tr w:rsidR="00F02D1E" w:rsidRPr="00E60223" w14:paraId="3E16080E" w14:textId="77777777" w:rsidTr="00292F70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0A186438" w14:textId="10136CB7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Telstra Corporation Limited</w:t>
            </w:r>
          </w:p>
        </w:tc>
        <w:tc>
          <w:tcPr>
            <w:tcW w:w="1843" w:type="dxa"/>
          </w:tcPr>
          <w:p w14:paraId="64C96F0A" w14:textId="1A10E4FD" w:rsidR="00F02D1E" w:rsidRPr="00E60223" w:rsidRDefault="00F02D1E" w:rsidP="00F0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Australia</w:t>
            </w:r>
          </w:p>
        </w:tc>
        <w:tc>
          <w:tcPr>
            <w:tcW w:w="3260" w:type="dxa"/>
            <w:noWrap/>
          </w:tcPr>
          <w:p w14:paraId="1EB5C367" w14:textId="0DD472C5" w:rsidR="00F02D1E" w:rsidRPr="00E60223" w:rsidRDefault="004E1D8E" w:rsidP="00F0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3.62%</w:t>
            </w:r>
          </w:p>
        </w:tc>
      </w:tr>
      <w:tr w:rsidR="00F02D1E" w:rsidRPr="00E60223" w14:paraId="33B53623" w14:textId="77777777" w:rsidTr="0029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6E3FDF6B" w14:textId="76944099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QBE Insurance Group Limited</w:t>
            </w:r>
          </w:p>
        </w:tc>
        <w:tc>
          <w:tcPr>
            <w:tcW w:w="1843" w:type="dxa"/>
          </w:tcPr>
          <w:p w14:paraId="236B0003" w14:textId="1662B3C8" w:rsidR="00F02D1E" w:rsidRPr="00E60223" w:rsidRDefault="00F02D1E" w:rsidP="00F0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  <w:tc>
          <w:tcPr>
            <w:tcW w:w="3260" w:type="dxa"/>
            <w:noWrap/>
          </w:tcPr>
          <w:p w14:paraId="5AEC3B8B" w14:textId="319D6E5A" w:rsidR="00F02D1E" w:rsidRPr="00E60223" w:rsidRDefault="004E1D8E" w:rsidP="00F0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3.44%</w:t>
            </w:r>
          </w:p>
        </w:tc>
      </w:tr>
      <w:tr w:rsidR="00F02D1E" w:rsidRPr="00E60223" w14:paraId="2DB5530C" w14:textId="77777777" w:rsidTr="00292F70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49EAB31B" w14:textId="1699D166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Sumitomo Mitsui Financial Group</w:t>
            </w:r>
          </w:p>
        </w:tc>
        <w:tc>
          <w:tcPr>
            <w:tcW w:w="1843" w:type="dxa"/>
          </w:tcPr>
          <w:p w14:paraId="4BE5FD35" w14:textId="7F833622" w:rsidR="00F02D1E" w:rsidRPr="00E60223" w:rsidRDefault="00F02D1E" w:rsidP="00F0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Japan</w:t>
            </w:r>
          </w:p>
        </w:tc>
        <w:tc>
          <w:tcPr>
            <w:tcW w:w="3260" w:type="dxa"/>
            <w:noWrap/>
          </w:tcPr>
          <w:p w14:paraId="512FB165" w14:textId="7A12745E" w:rsidR="00F02D1E" w:rsidRPr="00E60223" w:rsidRDefault="004E1D8E" w:rsidP="00F0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2.64%</w:t>
            </w:r>
          </w:p>
        </w:tc>
      </w:tr>
      <w:tr w:rsidR="00F02D1E" w:rsidRPr="00E60223" w14:paraId="60B5E697" w14:textId="77777777" w:rsidTr="0029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203FC7A8" w14:textId="5894FA47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BHP Billiton Limited</w:t>
            </w:r>
          </w:p>
        </w:tc>
        <w:tc>
          <w:tcPr>
            <w:tcW w:w="1843" w:type="dxa"/>
          </w:tcPr>
          <w:p w14:paraId="49DB38C5" w14:textId="3C06223E" w:rsidR="00F02D1E" w:rsidRPr="00E60223" w:rsidRDefault="00F02D1E" w:rsidP="00F0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  <w:tc>
          <w:tcPr>
            <w:tcW w:w="3260" w:type="dxa"/>
            <w:noWrap/>
          </w:tcPr>
          <w:p w14:paraId="7A1DB501" w14:textId="615EEA5A" w:rsidR="00F02D1E" w:rsidRPr="00E60223" w:rsidRDefault="006A75E8" w:rsidP="00F0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2.61%</w:t>
            </w:r>
          </w:p>
        </w:tc>
      </w:tr>
      <w:tr w:rsidR="00F02D1E" w:rsidRPr="00E60223" w14:paraId="480F63AF" w14:textId="77777777" w:rsidTr="00292F70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3D5C192E" w14:textId="7DB4B7CE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Beston Global Food Co Ltd</w:t>
            </w:r>
          </w:p>
        </w:tc>
        <w:tc>
          <w:tcPr>
            <w:tcW w:w="1843" w:type="dxa"/>
          </w:tcPr>
          <w:p w14:paraId="113EC9E3" w14:textId="200F7577" w:rsidR="00F02D1E" w:rsidRPr="00E60223" w:rsidRDefault="00F02D1E" w:rsidP="00F0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  <w:tc>
          <w:tcPr>
            <w:tcW w:w="3260" w:type="dxa"/>
            <w:noWrap/>
          </w:tcPr>
          <w:p w14:paraId="30D3CA94" w14:textId="1B754FDC" w:rsidR="00F02D1E" w:rsidRPr="00E60223" w:rsidRDefault="006A75E8" w:rsidP="00F0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2.37%</w:t>
            </w:r>
          </w:p>
        </w:tc>
      </w:tr>
      <w:tr w:rsidR="00F02D1E" w:rsidRPr="00E60223" w14:paraId="25A46D18" w14:textId="77777777" w:rsidTr="0029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11701B33" w14:textId="37074EDF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Fat Prophets Property</w:t>
            </w:r>
          </w:p>
        </w:tc>
        <w:tc>
          <w:tcPr>
            <w:tcW w:w="1843" w:type="dxa"/>
          </w:tcPr>
          <w:p w14:paraId="14D03937" w14:textId="1CF9AB99" w:rsidR="00F02D1E" w:rsidRPr="00E60223" w:rsidRDefault="00F02D1E" w:rsidP="00F0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  <w:tc>
          <w:tcPr>
            <w:tcW w:w="3260" w:type="dxa"/>
            <w:noWrap/>
          </w:tcPr>
          <w:p w14:paraId="132FA39D" w14:textId="77EB1A10" w:rsidR="00F02D1E" w:rsidRPr="00E60223" w:rsidRDefault="006A75E8" w:rsidP="00F0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2.35%</w:t>
            </w:r>
          </w:p>
        </w:tc>
      </w:tr>
      <w:tr w:rsidR="00F02D1E" w:rsidRPr="00E60223" w14:paraId="380F0CE1" w14:textId="77777777" w:rsidTr="00292F70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2FF9E7E5" w14:textId="4AC0A5A6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Powerhouse Energy Group PLC</w:t>
            </w:r>
          </w:p>
        </w:tc>
        <w:tc>
          <w:tcPr>
            <w:tcW w:w="1843" w:type="dxa"/>
          </w:tcPr>
          <w:p w14:paraId="2141FC2F" w14:textId="29DD9D48" w:rsidR="00F02D1E" w:rsidRPr="00E60223" w:rsidRDefault="00F02D1E" w:rsidP="00F0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United Kingdom</w:t>
            </w:r>
          </w:p>
        </w:tc>
        <w:tc>
          <w:tcPr>
            <w:tcW w:w="3260" w:type="dxa"/>
            <w:noWrap/>
          </w:tcPr>
          <w:p w14:paraId="7B744F31" w14:textId="481552A9" w:rsidR="00F02D1E" w:rsidRPr="00E60223" w:rsidRDefault="006A75E8" w:rsidP="00F0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2.34%</w:t>
            </w:r>
          </w:p>
        </w:tc>
      </w:tr>
      <w:tr w:rsidR="00F02D1E" w:rsidRPr="00E60223" w14:paraId="105EB9D1" w14:textId="77777777" w:rsidTr="0029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346DD3CE" w14:textId="1AB436BE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Global X Sil Min ETF</w:t>
            </w:r>
          </w:p>
        </w:tc>
        <w:tc>
          <w:tcPr>
            <w:tcW w:w="1843" w:type="dxa"/>
          </w:tcPr>
          <w:p w14:paraId="746344EC" w14:textId="574CFE7B" w:rsidR="00F02D1E" w:rsidRPr="00E60223" w:rsidRDefault="00F02D1E" w:rsidP="00F0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United States</w:t>
            </w:r>
          </w:p>
        </w:tc>
        <w:tc>
          <w:tcPr>
            <w:tcW w:w="3260" w:type="dxa"/>
            <w:noWrap/>
          </w:tcPr>
          <w:p w14:paraId="1F580FB1" w14:textId="32B0F6A1" w:rsidR="00F02D1E" w:rsidRPr="00E60223" w:rsidRDefault="006A75E8" w:rsidP="00F0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2.13%</w:t>
            </w:r>
          </w:p>
        </w:tc>
      </w:tr>
      <w:tr w:rsidR="00F02D1E" w:rsidRPr="00E60223" w14:paraId="3AD5D05E" w14:textId="77777777" w:rsidTr="00292F70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noWrap/>
          </w:tcPr>
          <w:p w14:paraId="1D0B4977" w14:textId="62A605EC" w:rsidR="00F02D1E" w:rsidRPr="00E60223" w:rsidRDefault="00F02D1E" w:rsidP="00F02D1E">
            <w:pPr>
              <w:rPr>
                <w:rFonts w:ascii="Arial" w:hAnsi="Arial" w:cs="Arial"/>
              </w:rPr>
            </w:pPr>
            <w:r w:rsidRPr="00E60223">
              <w:rPr>
                <w:rFonts w:ascii="Arial" w:hAnsi="Arial" w:cs="Arial"/>
              </w:rPr>
              <w:t>Dai-ichi Life Holdings Inc</w:t>
            </w:r>
          </w:p>
        </w:tc>
        <w:tc>
          <w:tcPr>
            <w:tcW w:w="1843" w:type="dxa"/>
          </w:tcPr>
          <w:p w14:paraId="550E1918" w14:textId="451EFD1E" w:rsidR="00F02D1E" w:rsidRPr="00E60223" w:rsidRDefault="00F02D1E" w:rsidP="00F0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eastAsia="Times New Roman" w:hAnsi="Arial" w:cs="Arial"/>
                <w:color w:val="000000"/>
                <w:lang w:eastAsia="en-AU"/>
              </w:rPr>
              <w:t>Japan</w:t>
            </w:r>
          </w:p>
        </w:tc>
        <w:tc>
          <w:tcPr>
            <w:tcW w:w="3260" w:type="dxa"/>
            <w:noWrap/>
          </w:tcPr>
          <w:p w14:paraId="18E596C5" w14:textId="4D55219B" w:rsidR="00F02D1E" w:rsidRPr="00E60223" w:rsidRDefault="00292F70" w:rsidP="00F0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60223">
              <w:rPr>
                <w:rFonts w:ascii="Arial" w:hAnsi="Arial" w:cs="Arial"/>
              </w:rPr>
              <w:t>2.02%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974"/>
        <w:gridCol w:w="973"/>
        <w:gridCol w:w="974"/>
        <w:gridCol w:w="974"/>
        <w:gridCol w:w="973"/>
        <w:gridCol w:w="974"/>
        <w:gridCol w:w="973"/>
        <w:gridCol w:w="974"/>
        <w:gridCol w:w="974"/>
        <w:gridCol w:w="974"/>
      </w:tblGrid>
      <w:tr w:rsidR="00FD0738" w:rsidRPr="00CE42C6" w14:paraId="4C4BE695" w14:textId="23308574" w:rsidTr="00DC481A">
        <w:tc>
          <w:tcPr>
            <w:tcW w:w="973" w:type="dxa"/>
            <w:vAlign w:val="center"/>
          </w:tcPr>
          <w:p w14:paraId="690D2280" w14:textId="77777777" w:rsidR="00FD0738" w:rsidRDefault="00FD0738" w:rsidP="005C3A30">
            <w:pPr>
              <w:rPr>
                <w:rFonts w:ascii="Arial" w:hAnsi="Arial" w:cs="Arial"/>
              </w:rPr>
            </w:pPr>
          </w:p>
          <w:p w14:paraId="37A786F5" w14:textId="77777777" w:rsidR="00FD0738" w:rsidRPr="00CE42C6" w:rsidRDefault="00FD0738" w:rsidP="005C3A30">
            <w:pPr>
              <w:jc w:val="center"/>
              <w:rPr>
                <w:rFonts w:ascii="Arial" w:hAnsi="Arial" w:cs="Arial"/>
              </w:rPr>
            </w:pPr>
            <w:r w:rsidRPr="00CE42C6">
              <w:rPr>
                <w:rFonts w:ascii="Arial" w:hAnsi="Arial" w:cs="Arial"/>
                <w:noProof/>
              </w:rPr>
              <w:drawing>
                <wp:inline distT="0" distB="0" distL="0" distR="0" wp14:anchorId="326DAACA" wp14:editId="343DE711">
                  <wp:extent cx="438150" cy="379000"/>
                  <wp:effectExtent l="0" t="0" r="0" b="2540"/>
                  <wp:docPr id="55" name="Picture 5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54" cy="38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4FC2312E" w14:textId="2C1A1E9C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30F1328E" w14:textId="1A3D788C" w:rsidR="00FD0738" w:rsidRPr="00CE42C6" w:rsidRDefault="009609D1" w:rsidP="005C3A30">
            <w:pPr>
              <w:jc w:val="center"/>
              <w:rPr>
                <w:rFonts w:ascii="Arial" w:hAnsi="Arial" w:cs="Arial"/>
              </w:rPr>
            </w:pPr>
            <w:r w:rsidRPr="00CE42C6">
              <w:rPr>
                <w:rFonts w:ascii="Arial" w:hAnsi="Arial" w:cs="Arial"/>
                <w:noProof/>
              </w:rPr>
              <w:drawing>
                <wp:inline distT="0" distB="0" distL="0" distR="0" wp14:anchorId="4F438E1B" wp14:editId="6DAF7221">
                  <wp:extent cx="480060" cy="150504"/>
                  <wp:effectExtent l="0" t="0" r="0" b="1905"/>
                  <wp:docPr id="60" name="Picture 6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65" cy="1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14:paraId="3E1C8EDC" w14:textId="77777777" w:rsidR="00FD0738" w:rsidRDefault="00FD0738" w:rsidP="005C3A30">
            <w:pPr>
              <w:rPr>
                <w:rFonts w:ascii="Arial" w:hAnsi="Arial" w:cs="Arial"/>
              </w:rPr>
            </w:pPr>
          </w:p>
          <w:p w14:paraId="302D4B5A" w14:textId="4084836F" w:rsidR="00FD0738" w:rsidRPr="00CE42C6" w:rsidRDefault="0001458D" w:rsidP="005C3A30">
            <w:pPr>
              <w:rPr>
                <w:rFonts w:ascii="Arial" w:hAnsi="Arial" w:cs="Arial"/>
              </w:rPr>
            </w:pPr>
            <w:r w:rsidRPr="00CE42C6">
              <w:rPr>
                <w:rFonts w:ascii="Arial" w:hAnsi="Arial" w:cs="Arial"/>
                <w:noProof/>
              </w:rPr>
              <w:drawing>
                <wp:inline distT="0" distB="0" distL="0" distR="0" wp14:anchorId="51736348" wp14:editId="4B8E4BD6">
                  <wp:extent cx="485140" cy="485140"/>
                  <wp:effectExtent l="0" t="0" r="0" b="0"/>
                  <wp:docPr id="62" name="Picture 6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66FF3311" w14:textId="77777777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54B08666" w14:textId="0D7DB3FD" w:rsidR="00FD0738" w:rsidRPr="00CE42C6" w:rsidRDefault="0001458D" w:rsidP="005C3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E9614" wp14:editId="6F803456">
                  <wp:extent cx="525634" cy="19875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97064" cy="22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107E59B6" w14:textId="064FF3F6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1320D491" w14:textId="68D9E93B" w:rsidR="00FD0738" w:rsidRPr="00CE42C6" w:rsidRDefault="009609D1" w:rsidP="005C3A30">
            <w:pPr>
              <w:jc w:val="center"/>
              <w:rPr>
                <w:rFonts w:ascii="Arial" w:hAnsi="Arial" w:cs="Arial"/>
              </w:rPr>
            </w:pPr>
            <w:r w:rsidRPr="00CE42C6">
              <w:rPr>
                <w:rFonts w:ascii="Arial" w:hAnsi="Arial" w:cs="Arial"/>
                <w:noProof/>
              </w:rPr>
              <w:drawing>
                <wp:inline distT="0" distB="0" distL="0" distR="0" wp14:anchorId="0AD57512" wp14:editId="39F8F7F3">
                  <wp:extent cx="485775" cy="323261"/>
                  <wp:effectExtent l="0" t="0" r="0" b="635"/>
                  <wp:docPr id="57" name="Picture 5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Logo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99" cy="32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14:paraId="081DBF30" w14:textId="77777777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6D878C86" w14:textId="2CCE573C" w:rsidR="00FD0738" w:rsidRPr="00CE42C6" w:rsidRDefault="00C75BA4" w:rsidP="005C3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E8C584" wp14:editId="3A16B1E7">
                  <wp:extent cx="441960" cy="4419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3EA20B05" w14:textId="77777777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0426E652" w14:textId="60E91E4F" w:rsidR="00FD0738" w:rsidRPr="00CE42C6" w:rsidRDefault="00EC6201" w:rsidP="005C3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265744" wp14:editId="4E9826C7">
                  <wp:extent cx="480060" cy="4800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14:paraId="79512940" w14:textId="77777777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635E9228" w14:textId="02F3CC9D" w:rsidR="00FD0738" w:rsidRPr="00CE42C6" w:rsidRDefault="004C233D" w:rsidP="005C3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C23174" wp14:editId="3024C1F9">
                  <wp:extent cx="495300" cy="495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0EAD0C0C" w14:textId="77777777" w:rsidR="00FD0738" w:rsidRDefault="00FD0738" w:rsidP="005C3A30">
            <w:pPr>
              <w:rPr>
                <w:rFonts w:ascii="Arial" w:hAnsi="Arial" w:cs="Arial"/>
              </w:rPr>
            </w:pPr>
          </w:p>
          <w:p w14:paraId="3E19F57A" w14:textId="56DC813B" w:rsidR="00FD0738" w:rsidRPr="00CE42C6" w:rsidRDefault="002908B0" w:rsidP="005C3A3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A2C963" wp14:editId="0758357A">
                  <wp:extent cx="481330" cy="61595"/>
                  <wp:effectExtent l="0" t="0" r="0" b="0"/>
                  <wp:docPr id="7" name="Picture 7" descr="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538F40B2" w14:textId="68050AD7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  <w:p w14:paraId="04EB2736" w14:textId="0BBD2883" w:rsidR="00FD0738" w:rsidRPr="00CE42C6" w:rsidRDefault="005F0A73" w:rsidP="005C3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C7D352" wp14:editId="7702F7A8">
                  <wp:extent cx="4572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77" cy="464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14:paraId="177C8351" w14:textId="77777777" w:rsidR="00FD0738" w:rsidRDefault="00FD0738" w:rsidP="005C3A30">
            <w:pPr>
              <w:jc w:val="center"/>
              <w:rPr>
                <w:rFonts w:ascii="Arial" w:hAnsi="Arial" w:cs="Arial"/>
              </w:rPr>
            </w:pPr>
          </w:p>
        </w:tc>
      </w:tr>
      <w:tr w:rsidR="00B44DA3" w:rsidRPr="00CE42C6" w14:paraId="7FDF2C24" w14:textId="672CAA58" w:rsidTr="00DC481A">
        <w:trPr>
          <w:gridAfter w:val="1"/>
          <w:wAfter w:w="974" w:type="dxa"/>
        </w:trPr>
        <w:tc>
          <w:tcPr>
            <w:tcW w:w="973" w:type="dxa"/>
            <w:tcBorders>
              <w:left w:val="single" w:sz="4" w:space="0" w:color="ED7D31" w:themeColor="accent2"/>
              <w:right w:val="dotted" w:sz="4" w:space="0" w:color="ED7D31" w:themeColor="accent2"/>
            </w:tcBorders>
            <w:vAlign w:val="center"/>
          </w:tcPr>
          <w:p w14:paraId="16D9C32A" w14:textId="77777777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 w:rsidRPr="00CE42C6">
              <w:rPr>
                <w:rFonts w:ascii="Arial" w:hAnsi="Arial" w:cs="Arial"/>
                <w:b/>
                <w:bCs/>
                <w:noProof/>
              </w:rPr>
              <w:t>ASX: CKF</w:t>
            </w:r>
          </w:p>
        </w:tc>
        <w:tc>
          <w:tcPr>
            <w:tcW w:w="974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3B20DE5A" w14:textId="456FD4A3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ASX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TLS</w:t>
            </w:r>
          </w:p>
        </w:tc>
        <w:tc>
          <w:tcPr>
            <w:tcW w:w="973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25BB7A30" w14:textId="524CFE6E" w:rsidR="00B44DA3" w:rsidRPr="006C7BAB" w:rsidRDefault="00B44DA3" w:rsidP="005C3A3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ASX</w:t>
            </w:r>
            <w:r w:rsidRPr="006C7BAB">
              <w:rPr>
                <w:rFonts w:ascii="Arial" w:hAnsi="Arial" w:cs="Arial"/>
                <w:b/>
                <w:bCs/>
                <w:noProof/>
              </w:rPr>
              <w:t>:</w:t>
            </w:r>
          </w:p>
          <w:p w14:paraId="76FEF018" w14:textId="4DB4FA83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QBE</w:t>
            </w:r>
          </w:p>
        </w:tc>
        <w:tc>
          <w:tcPr>
            <w:tcW w:w="974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2D4DBAE9" w14:textId="00A6A232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TYO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8316</w:t>
            </w:r>
          </w:p>
        </w:tc>
        <w:tc>
          <w:tcPr>
            <w:tcW w:w="974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1A084F98" w14:textId="722B38E6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ASX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BHP</w:t>
            </w:r>
          </w:p>
        </w:tc>
        <w:tc>
          <w:tcPr>
            <w:tcW w:w="973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4BE2309E" w14:textId="561BD4C7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ASX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BFC</w:t>
            </w:r>
          </w:p>
        </w:tc>
        <w:tc>
          <w:tcPr>
            <w:tcW w:w="974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3F6FF24B" w14:textId="452DD1E3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ASX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FPP</w:t>
            </w:r>
          </w:p>
        </w:tc>
        <w:tc>
          <w:tcPr>
            <w:tcW w:w="973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44AEF95E" w14:textId="0BC816FF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LSE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PHE</w:t>
            </w:r>
          </w:p>
        </w:tc>
        <w:tc>
          <w:tcPr>
            <w:tcW w:w="974" w:type="dxa"/>
            <w:tcBorders>
              <w:left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07A167FD" w14:textId="2136F39C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NYSE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SIL</w:t>
            </w:r>
          </w:p>
        </w:tc>
        <w:tc>
          <w:tcPr>
            <w:tcW w:w="974" w:type="dxa"/>
            <w:tcBorders>
              <w:left w:val="dotted" w:sz="4" w:space="0" w:color="ED7D31" w:themeColor="accent2"/>
              <w:right w:val="single" w:sz="4" w:space="0" w:color="ED7D31" w:themeColor="accent2"/>
            </w:tcBorders>
            <w:vAlign w:val="center"/>
          </w:tcPr>
          <w:p w14:paraId="561F0A68" w14:textId="5DF611E9" w:rsidR="00B44DA3" w:rsidRPr="00CE42C6" w:rsidRDefault="00B44DA3" w:rsidP="005C3A3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TYO</w:t>
            </w:r>
            <w:r w:rsidRPr="00CE42C6">
              <w:rPr>
                <w:rFonts w:ascii="Arial" w:hAnsi="Arial" w:cs="Arial"/>
                <w:b/>
                <w:bCs/>
                <w:noProof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</w:rPr>
              <w:t>8750</w:t>
            </w:r>
          </w:p>
        </w:tc>
      </w:tr>
    </w:tbl>
    <w:p w14:paraId="4E5233E8" w14:textId="77777777" w:rsidR="00B44DA3" w:rsidRDefault="00B44DA3" w:rsidP="00B96263">
      <w:pPr>
        <w:spacing w:before="240"/>
        <w:jc w:val="center"/>
        <w:rPr>
          <w:rFonts w:ascii="Arial" w:hAnsi="Arial" w:cs="Arial"/>
        </w:rPr>
      </w:pPr>
    </w:p>
    <w:p w14:paraId="480E676B" w14:textId="2F0C164A" w:rsidR="00B44DA3" w:rsidRDefault="00B44DA3" w:rsidP="00B96263">
      <w:pPr>
        <w:spacing w:before="24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BFD910" wp14:editId="36C64198">
            <wp:extent cx="6184900" cy="4138930"/>
            <wp:effectExtent l="0" t="0" r="6350" b="1397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77CFB688-E2B2-47B9-A3F7-344B21CCD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026E04" w14:textId="77777777" w:rsidR="00B44DA3" w:rsidRDefault="00B44DA3" w:rsidP="00B96263">
      <w:pPr>
        <w:spacing w:before="240"/>
        <w:jc w:val="center"/>
        <w:rPr>
          <w:rFonts w:ascii="Arial" w:hAnsi="Arial" w:cs="Arial"/>
        </w:rPr>
      </w:pPr>
    </w:p>
    <w:p w14:paraId="1A7E2082" w14:textId="7E6A47D2" w:rsidR="00B96263" w:rsidRDefault="00DC481A" w:rsidP="00B96263">
      <w:pPr>
        <w:spacing w:before="24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8CD6D1B" wp14:editId="69F5A4CD">
            <wp:extent cx="6184900" cy="4503420"/>
            <wp:effectExtent l="0" t="0" r="6350" b="1143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BA048B27-06E3-4709-9FFC-72C245655C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7DC65AC" w14:textId="5D94F825" w:rsidR="001734B8" w:rsidRDefault="001734B8" w:rsidP="001734B8">
      <w:pPr>
        <w:spacing w:before="240"/>
        <w:rPr>
          <w:rFonts w:ascii="Arial" w:hAnsi="Arial" w:cs="Arial"/>
        </w:rPr>
      </w:pPr>
    </w:p>
    <w:p w14:paraId="5B527B21" w14:textId="25E5B1A2" w:rsidR="00A91094" w:rsidRPr="001734B8" w:rsidRDefault="00BD0290" w:rsidP="001734B8">
      <w:pPr>
        <w:spacing w:before="240"/>
        <w:rPr>
          <w:rFonts w:ascii="Arial" w:hAnsi="Arial" w:cs="Arial"/>
        </w:rPr>
      </w:pPr>
      <w:r w:rsidRPr="00CE42C6">
        <w:rPr>
          <w:rFonts w:ascii="Arial" w:hAnsi="Arial" w:cs="Arial"/>
        </w:rPr>
        <w:t>Angus Geddes</w:t>
      </w:r>
      <w:r w:rsidRPr="00CE42C6">
        <w:rPr>
          <w:rFonts w:ascii="Arial" w:hAnsi="Arial" w:cs="Arial"/>
        </w:rPr>
        <w:br/>
        <w:t>Chief Investment Officer</w:t>
      </w:r>
      <w:r w:rsidRPr="00CE42C6">
        <w:rPr>
          <w:rFonts w:ascii="Arial" w:hAnsi="Arial" w:cs="Arial"/>
        </w:rPr>
        <w:br/>
      </w:r>
      <w:r w:rsidRPr="00CE42C6">
        <w:rPr>
          <w:rFonts w:ascii="Arial" w:hAnsi="Arial" w:cs="Arial"/>
          <w:b/>
          <w:bCs/>
        </w:rPr>
        <w:t>Fat Prophets Global Contrarian Fund</w:t>
      </w:r>
    </w:p>
    <w:sectPr w:rsidR="00A91094" w:rsidRPr="001734B8" w:rsidSect="00385DFB">
      <w:headerReference w:type="default" r:id="rId25"/>
      <w:footerReference w:type="default" r:id="rId26"/>
      <w:pgSz w:w="11906" w:h="16838"/>
      <w:pgMar w:top="1083" w:right="1083" w:bottom="1083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9BDC" w14:textId="77777777" w:rsidR="0078475F" w:rsidRDefault="0078475F" w:rsidP="003213A7">
      <w:pPr>
        <w:spacing w:after="0" w:line="240" w:lineRule="auto"/>
      </w:pPr>
      <w:r>
        <w:separator/>
      </w:r>
    </w:p>
  </w:endnote>
  <w:endnote w:type="continuationSeparator" w:id="0">
    <w:p w14:paraId="29D5B2D9" w14:textId="77777777" w:rsidR="0078475F" w:rsidRDefault="0078475F" w:rsidP="003213A7">
      <w:pPr>
        <w:spacing w:after="0" w:line="240" w:lineRule="auto"/>
      </w:pPr>
      <w:r>
        <w:continuationSeparator/>
      </w:r>
    </w:p>
  </w:endnote>
  <w:endnote w:type="continuationNotice" w:id="1">
    <w:p w14:paraId="1DEE8C84" w14:textId="77777777" w:rsidR="0078475F" w:rsidRDefault="00784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E84C" w14:textId="5E4C2481" w:rsidR="00180406" w:rsidRPr="00F13155" w:rsidRDefault="00622528" w:rsidP="006B3684">
    <w:pPr>
      <w:pStyle w:val="Footer"/>
      <w:ind w:left="360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05B9ACF" wp14:editId="754EAF78">
          <wp:simplePos x="0" y="0"/>
          <wp:positionH relativeFrom="column">
            <wp:posOffset>33264</wp:posOffset>
          </wp:positionH>
          <wp:positionV relativeFrom="paragraph">
            <wp:posOffset>117622</wp:posOffset>
          </wp:positionV>
          <wp:extent cx="1371600" cy="342900"/>
          <wp:effectExtent l="0" t="0" r="0" b="0"/>
          <wp:wrapSquare wrapText="bothSides"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155">
      <w:rPr>
        <w:lang w:val="en-US"/>
      </w:rPr>
      <w:tab/>
      <w:t>Fat Prophets</w:t>
    </w:r>
    <w:r w:rsidR="009B130F">
      <w:rPr>
        <w:lang w:val="en-US"/>
      </w:rPr>
      <w:t xml:space="preserve"> Global</w:t>
    </w:r>
    <w:r w:rsidR="00F13155">
      <w:rPr>
        <w:lang w:val="en-US"/>
      </w:rPr>
      <w:t xml:space="preserve"> Contrarian Fund</w:t>
    </w:r>
    <w:r w:rsidR="009B130F">
      <w:rPr>
        <w:lang w:val="en-US"/>
      </w:rPr>
      <w:t xml:space="preserve">       </w:t>
    </w:r>
    <w:r w:rsidR="00984CF2">
      <w:rPr>
        <w:lang w:val="en-US"/>
      </w:rPr>
      <w:t xml:space="preserve"> </w:t>
    </w:r>
    <w:r w:rsidR="00F13155">
      <w:rPr>
        <w:lang w:val="en-US"/>
      </w:rPr>
      <w:t>ACN:</w:t>
    </w:r>
    <w:r w:rsidR="00F13155" w:rsidRPr="00F13155">
      <w:t xml:space="preserve"> </w:t>
    </w:r>
    <w:r w:rsidR="00F13155" w:rsidRPr="00F13155">
      <w:rPr>
        <w:lang w:val="en-US"/>
      </w:rPr>
      <w:t>615 414 849</w:t>
    </w:r>
    <w:r w:rsidR="00F13155">
      <w:rPr>
        <w:lang w:val="en-US"/>
      </w:rPr>
      <w:br/>
    </w:r>
    <w:hyperlink r:id="rId2" w:history="1">
      <w:r w:rsidR="00984CF2" w:rsidRPr="00F00563">
        <w:rPr>
          <w:rStyle w:val="Hyperlink"/>
          <w:lang w:val="en-US"/>
        </w:rPr>
        <w:t>www.fpcontrarian.com.au</w:t>
      </w:r>
    </w:hyperlink>
    <w:r w:rsidR="00984CF2">
      <w:rPr>
        <w:rStyle w:val="Hyperlink"/>
        <w:u w:val="none"/>
        <w:lang w:val="en-US"/>
      </w:rPr>
      <w:t xml:space="preserve">                          </w:t>
    </w:r>
    <w:r w:rsidR="00F13155">
      <w:rPr>
        <w:lang w:val="en-US"/>
      </w:rPr>
      <w:t>3/22 Market Street, Sydney</w:t>
    </w:r>
    <w:r w:rsidR="00F13155">
      <w:rPr>
        <w:lang w:val="en-US"/>
      </w:rPr>
      <w:br/>
    </w:r>
    <w:hyperlink r:id="rId3" w:history="1">
      <w:r w:rsidR="00984CF2" w:rsidRPr="00A40DD0">
        <w:rPr>
          <w:rStyle w:val="Hyperlink"/>
          <w:lang w:val="en-US"/>
        </w:rPr>
        <w:t>invest@fatprophets.com.au</w:t>
      </w:r>
    </w:hyperlink>
    <w:r w:rsidR="00984CF2" w:rsidRPr="00984CF2">
      <w:rPr>
        <w:rStyle w:val="Hyperlink"/>
        <w:u w:val="none"/>
        <w:lang w:val="en-US"/>
      </w:rPr>
      <w:t xml:space="preserve">                       </w:t>
    </w:r>
    <w:r w:rsidR="00F13155">
      <w:rPr>
        <w:lang w:val="en-US"/>
      </w:rPr>
      <w:t>NSW 2000</w:t>
    </w:r>
    <w:r w:rsidR="009B130F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372D" w14:textId="77777777" w:rsidR="0078475F" w:rsidRDefault="0078475F" w:rsidP="003213A7">
      <w:pPr>
        <w:spacing w:after="0" w:line="240" w:lineRule="auto"/>
      </w:pPr>
      <w:r>
        <w:separator/>
      </w:r>
    </w:p>
  </w:footnote>
  <w:footnote w:type="continuationSeparator" w:id="0">
    <w:p w14:paraId="6145FF51" w14:textId="77777777" w:rsidR="0078475F" w:rsidRDefault="0078475F" w:rsidP="003213A7">
      <w:pPr>
        <w:spacing w:after="0" w:line="240" w:lineRule="auto"/>
      </w:pPr>
      <w:r>
        <w:continuationSeparator/>
      </w:r>
    </w:p>
  </w:footnote>
  <w:footnote w:type="continuationNotice" w:id="1">
    <w:p w14:paraId="7A6C3A48" w14:textId="77777777" w:rsidR="0078475F" w:rsidRDefault="00784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8B43" w14:textId="5A81A825" w:rsidR="003213A7" w:rsidRPr="00180406" w:rsidRDefault="009671F6" w:rsidP="009671F6">
    <w:pPr>
      <w:pStyle w:val="Header"/>
      <w:ind w:left="4513" w:hanging="451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58C93927" wp14:editId="3AA26B81">
          <wp:simplePos x="0" y="0"/>
          <wp:positionH relativeFrom="column">
            <wp:posOffset>-1487265</wp:posOffset>
          </wp:positionH>
          <wp:positionV relativeFrom="paragraph">
            <wp:posOffset>-1431290</wp:posOffset>
          </wp:positionV>
          <wp:extent cx="2895600" cy="3082230"/>
          <wp:effectExtent l="0" t="0" r="0" b="4445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08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1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0301A5" wp14:editId="0262B8E3">
          <wp:simplePos x="0" y="0"/>
          <wp:positionH relativeFrom="column">
            <wp:posOffset>4490671</wp:posOffset>
          </wp:positionH>
          <wp:positionV relativeFrom="paragraph">
            <wp:posOffset>-247650</wp:posOffset>
          </wp:positionV>
          <wp:extent cx="1294694" cy="466090"/>
          <wp:effectExtent l="0" t="0" r="1270" b="0"/>
          <wp:wrapSquare wrapText="bothSides"/>
          <wp:docPr id="23" name="Picture 2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94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06">
      <w:rPr>
        <w:lang w:val="en-US"/>
      </w:rPr>
      <w:t xml:space="preserve">ASX Announcement – </w:t>
    </w:r>
    <w:r w:rsidR="007A39AB">
      <w:rPr>
        <w:lang w:val="en-US"/>
      </w:rPr>
      <w:t>1</w:t>
    </w:r>
    <w:r w:rsidR="00BE2E28">
      <w:rPr>
        <w:lang w:val="en-US"/>
      </w:rPr>
      <w:t>2</w:t>
    </w:r>
    <w:r w:rsidR="007A39AB">
      <w:rPr>
        <w:lang w:val="en-US"/>
      </w:rPr>
      <w:t xml:space="preserve"> </w:t>
    </w:r>
    <w:r w:rsidR="003C5AD5">
      <w:rPr>
        <w:lang w:val="en-US"/>
      </w:rPr>
      <w:t>August</w:t>
    </w:r>
    <w:r w:rsidR="00180406">
      <w:rPr>
        <w:lang w:val="en-US"/>
      </w:rPr>
      <w:t xml:space="preserve"> 2022</w:t>
    </w:r>
    <w:r w:rsidR="00924B66">
      <w:rPr>
        <w:lang w:val="en-US"/>
      </w:rPr>
      <w:t xml:space="preserve"> </w:t>
    </w:r>
    <w:r w:rsidR="00924B66">
      <w:rPr>
        <w:lang w:val="en-US"/>
      </w:rPr>
      <w:tab/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DD5"/>
    <w:multiLevelType w:val="hybridMultilevel"/>
    <w:tmpl w:val="80526834"/>
    <w:lvl w:ilvl="0" w:tplc="86B409F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3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0"/>
    <w:rsid w:val="0000213C"/>
    <w:rsid w:val="0000433E"/>
    <w:rsid w:val="00005031"/>
    <w:rsid w:val="00006C54"/>
    <w:rsid w:val="0001022D"/>
    <w:rsid w:val="00011E9E"/>
    <w:rsid w:val="0001458D"/>
    <w:rsid w:val="0001709D"/>
    <w:rsid w:val="00017F19"/>
    <w:rsid w:val="0002186C"/>
    <w:rsid w:val="000246E1"/>
    <w:rsid w:val="00031116"/>
    <w:rsid w:val="000324FF"/>
    <w:rsid w:val="000347F1"/>
    <w:rsid w:val="00054264"/>
    <w:rsid w:val="000547D4"/>
    <w:rsid w:val="0006047C"/>
    <w:rsid w:val="00067E80"/>
    <w:rsid w:val="0007187E"/>
    <w:rsid w:val="00072444"/>
    <w:rsid w:val="000821D3"/>
    <w:rsid w:val="00083CB7"/>
    <w:rsid w:val="0009147F"/>
    <w:rsid w:val="000932B0"/>
    <w:rsid w:val="000935EC"/>
    <w:rsid w:val="00093685"/>
    <w:rsid w:val="00097757"/>
    <w:rsid w:val="000A3FEC"/>
    <w:rsid w:val="000B2B89"/>
    <w:rsid w:val="000C548F"/>
    <w:rsid w:val="000C5524"/>
    <w:rsid w:val="000D1610"/>
    <w:rsid w:val="000E185A"/>
    <w:rsid w:val="000E49AC"/>
    <w:rsid w:val="000F3898"/>
    <w:rsid w:val="000F7F50"/>
    <w:rsid w:val="001043D4"/>
    <w:rsid w:val="001047EB"/>
    <w:rsid w:val="00104915"/>
    <w:rsid w:val="00110971"/>
    <w:rsid w:val="00114E0F"/>
    <w:rsid w:val="001330B9"/>
    <w:rsid w:val="00144322"/>
    <w:rsid w:val="00145388"/>
    <w:rsid w:val="00151504"/>
    <w:rsid w:val="001529B1"/>
    <w:rsid w:val="0015301E"/>
    <w:rsid w:val="00153345"/>
    <w:rsid w:val="0015537C"/>
    <w:rsid w:val="0016287A"/>
    <w:rsid w:val="001713BD"/>
    <w:rsid w:val="001734B8"/>
    <w:rsid w:val="00173A8F"/>
    <w:rsid w:val="001753BB"/>
    <w:rsid w:val="00180406"/>
    <w:rsid w:val="00180AF3"/>
    <w:rsid w:val="00183637"/>
    <w:rsid w:val="00183A7F"/>
    <w:rsid w:val="00190740"/>
    <w:rsid w:val="00192165"/>
    <w:rsid w:val="00192F94"/>
    <w:rsid w:val="001968C0"/>
    <w:rsid w:val="001A12B3"/>
    <w:rsid w:val="001A2E1E"/>
    <w:rsid w:val="001A41AE"/>
    <w:rsid w:val="001A7EC1"/>
    <w:rsid w:val="001B1059"/>
    <w:rsid w:val="001B36BF"/>
    <w:rsid w:val="001B44BF"/>
    <w:rsid w:val="001B58AD"/>
    <w:rsid w:val="001C4081"/>
    <w:rsid w:val="001C59BB"/>
    <w:rsid w:val="001C7071"/>
    <w:rsid w:val="001D01A0"/>
    <w:rsid w:val="001D2129"/>
    <w:rsid w:val="001D2AE3"/>
    <w:rsid w:val="001E0E53"/>
    <w:rsid w:val="001E49AC"/>
    <w:rsid w:val="001E4F96"/>
    <w:rsid w:val="001F0E1C"/>
    <w:rsid w:val="001F2E5F"/>
    <w:rsid w:val="001F33EA"/>
    <w:rsid w:val="001F4315"/>
    <w:rsid w:val="001F5F54"/>
    <w:rsid w:val="00220F83"/>
    <w:rsid w:val="002211D6"/>
    <w:rsid w:val="00226631"/>
    <w:rsid w:val="002351B8"/>
    <w:rsid w:val="002363DC"/>
    <w:rsid w:val="00237CC5"/>
    <w:rsid w:val="0024092C"/>
    <w:rsid w:val="002453AA"/>
    <w:rsid w:val="0024645A"/>
    <w:rsid w:val="00247BD3"/>
    <w:rsid w:val="002501CB"/>
    <w:rsid w:val="00262BEC"/>
    <w:rsid w:val="00264771"/>
    <w:rsid w:val="00267833"/>
    <w:rsid w:val="002716D6"/>
    <w:rsid w:val="00272854"/>
    <w:rsid w:val="00276E49"/>
    <w:rsid w:val="002873A7"/>
    <w:rsid w:val="002908B0"/>
    <w:rsid w:val="00292607"/>
    <w:rsid w:val="00292F70"/>
    <w:rsid w:val="00296F6F"/>
    <w:rsid w:val="002B0789"/>
    <w:rsid w:val="002B0869"/>
    <w:rsid w:val="002B2348"/>
    <w:rsid w:val="002B3969"/>
    <w:rsid w:val="002B6941"/>
    <w:rsid w:val="002C4706"/>
    <w:rsid w:val="002D099C"/>
    <w:rsid w:val="002D1008"/>
    <w:rsid w:val="002D1365"/>
    <w:rsid w:val="002D179E"/>
    <w:rsid w:val="002D3F4E"/>
    <w:rsid w:val="002D40C4"/>
    <w:rsid w:val="002D6025"/>
    <w:rsid w:val="002E02F5"/>
    <w:rsid w:val="002E35C0"/>
    <w:rsid w:val="002F10BC"/>
    <w:rsid w:val="0030434E"/>
    <w:rsid w:val="003043D5"/>
    <w:rsid w:val="003213A7"/>
    <w:rsid w:val="00323339"/>
    <w:rsid w:val="0032493D"/>
    <w:rsid w:val="00325150"/>
    <w:rsid w:val="003257AB"/>
    <w:rsid w:val="00327554"/>
    <w:rsid w:val="003313E2"/>
    <w:rsid w:val="00333321"/>
    <w:rsid w:val="003372EC"/>
    <w:rsid w:val="00346118"/>
    <w:rsid w:val="00346D63"/>
    <w:rsid w:val="00347A78"/>
    <w:rsid w:val="0035134A"/>
    <w:rsid w:val="003557B4"/>
    <w:rsid w:val="00355C27"/>
    <w:rsid w:val="00357519"/>
    <w:rsid w:val="0036175D"/>
    <w:rsid w:val="003760B3"/>
    <w:rsid w:val="003776D1"/>
    <w:rsid w:val="0038152B"/>
    <w:rsid w:val="00381A7E"/>
    <w:rsid w:val="00385DFB"/>
    <w:rsid w:val="00386B68"/>
    <w:rsid w:val="00386C2B"/>
    <w:rsid w:val="00390FAA"/>
    <w:rsid w:val="00393B38"/>
    <w:rsid w:val="00396435"/>
    <w:rsid w:val="003A79D4"/>
    <w:rsid w:val="003B25F4"/>
    <w:rsid w:val="003B7609"/>
    <w:rsid w:val="003C5AD5"/>
    <w:rsid w:val="003D11D7"/>
    <w:rsid w:val="003D2426"/>
    <w:rsid w:val="003D35C7"/>
    <w:rsid w:val="003D619D"/>
    <w:rsid w:val="003E054E"/>
    <w:rsid w:val="00417FD4"/>
    <w:rsid w:val="004225D2"/>
    <w:rsid w:val="00424778"/>
    <w:rsid w:val="00426E46"/>
    <w:rsid w:val="0043127A"/>
    <w:rsid w:val="004317C7"/>
    <w:rsid w:val="00443A8B"/>
    <w:rsid w:val="00445E39"/>
    <w:rsid w:val="0045034C"/>
    <w:rsid w:val="00450B8D"/>
    <w:rsid w:val="00451FDF"/>
    <w:rsid w:val="00452425"/>
    <w:rsid w:val="004600CC"/>
    <w:rsid w:val="00462931"/>
    <w:rsid w:val="00462AA1"/>
    <w:rsid w:val="0046400E"/>
    <w:rsid w:val="00464F8B"/>
    <w:rsid w:val="00472A01"/>
    <w:rsid w:val="00476577"/>
    <w:rsid w:val="0048147F"/>
    <w:rsid w:val="004838F7"/>
    <w:rsid w:val="00484A8B"/>
    <w:rsid w:val="0049209B"/>
    <w:rsid w:val="0049700F"/>
    <w:rsid w:val="004977E0"/>
    <w:rsid w:val="004A2D5F"/>
    <w:rsid w:val="004B3A07"/>
    <w:rsid w:val="004B6DFE"/>
    <w:rsid w:val="004C233D"/>
    <w:rsid w:val="004C4FEF"/>
    <w:rsid w:val="004C7E40"/>
    <w:rsid w:val="004D4D39"/>
    <w:rsid w:val="004D558C"/>
    <w:rsid w:val="004D605A"/>
    <w:rsid w:val="004E0AFB"/>
    <w:rsid w:val="004E1D8E"/>
    <w:rsid w:val="004E3006"/>
    <w:rsid w:val="004F277A"/>
    <w:rsid w:val="005003E9"/>
    <w:rsid w:val="00505BA5"/>
    <w:rsid w:val="005079D1"/>
    <w:rsid w:val="005150DF"/>
    <w:rsid w:val="00517AE6"/>
    <w:rsid w:val="00523C19"/>
    <w:rsid w:val="00531342"/>
    <w:rsid w:val="00533B1F"/>
    <w:rsid w:val="00537686"/>
    <w:rsid w:val="00544B55"/>
    <w:rsid w:val="00545BDC"/>
    <w:rsid w:val="00552F2F"/>
    <w:rsid w:val="00554008"/>
    <w:rsid w:val="00554AD9"/>
    <w:rsid w:val="00555F0E"/>
    <w:rsid w:val="00557D59"/>
    <w:rsid w:val="0056221C"/>
    <w:rsid w:val="00564C20"/>
    <w:rsid w:val="0057351E"/>
    <w:rsid w:val="005739C0"/>
    <w:rsid w:val="00575504"/>
    <w:rsid w:val="005767E4"/>
    <w:rsid w:val="00577A5A"/>
    <w:rsid w:val="005808B5"/>
    <w:rsid w:val="00582A0D"/>
    <w:rsid w:val="00583CE6"/>
    <w:rsid w:val="00586462"/>
    <w:rsid w:val="00587489"/>
    <w:rsid w:val="00592FC4"/>
    <w:rsid w:val="005A452A"/>
    <w:rsid w:val="005B7523"/>
    <w:rsid w:val="005C3A30"/>
    <w:rsid w:val="005C67BE"/>
    <w:rsid w:val="005C7E11"/>
    <w:rsid w:val="005D2ED0"/>
    <w:rsid w:val="005D5742"/>
    <w:rsid w:val="005D5996"/>
    <w:rsid w:val="005E2501"/>
    <w:rsid w:val="005F0A73"/>
    <w:rsid w:val="005F4FD9"/>
    <w:rsid w:val="005F7F94"/>
    <w:rsid w:val="00607C1A"/>
    <w:rsid w:val="00612E0B"/>
    <w:rsid w:val="00614D1E"/>
    <w:rsid w:val="00622528"/>
    <w:rsid w:val="006269C7"/>
    <w:rsid w:val="006308B1"/>
    <w:rsid w:val="00631933"/>
    <w:rsid w:val="006332B1"/>
    <w:rsid w:val="00635405"/>
    <w:rsid w:val="00636FB0"/>
    <w:rsid w:val="00646634"/>
    <w:rsid w:val="006521F8"/>
    <w:rsid w:val="006667B7"/>
    <w:rsid w:val="0067158D"/>
    <w:rsid w:val="006750B9"/>
    <w:rsid w:val="00677EF7"/>
    <w:rsid w:val="00681B97"/>
    <w:rsid w:val="00692019"/>
    <w:rsid w:val="0069501A"/>
    <w:rsid w:val="006A026E"/>
    <w:rsid w:val="006A75E8"/>
    <w:rsid w:val="006B0984"/>
    <w:rsid w:val="006B3684"/>
    <w:rsid w:val="006B3C3C"/>
    <w:rsid w:val="006B4F47"/>
    <w:rsid w:val="006C0EF9"/>
    <w:rsid w:val="006C1E8E"/>
    <w:rsid w:val="006C333A"/>
    <w:rsid w:val="006C4196"/>
    <w:rsid w:val="006C7BAB"/>
    <w:rsid w:val="006D145F"/>
    <w:rsid w:val="006F7D88"/>
    <w:rsid w:val="00715743"/>
    <w:rsid w:val="00720200"/>
    <w:rsid w:val="00721E03"/>
    <w:rsid w:val="00723D77"/>
    <w:rsid w:val="00741F0F"/>
    <w:rsid w:val="007452AB"/>
    <w:rsid w:val="00746889"/>
    <w:rsid w:val="00746BE9"/>
    <w:rsid w:val="00751746"/>
    <w:rsid w:val="00762E11"/>
    <w:rsid w:val="00770ED8"/>
    <w:rsid w:val="00771E3B"/>
    <w:rsid w:val="00772FF6"/>
    <w:rsid w:val="00777BA1"/>
    <w:rsid w:val="0078475F"/>
    <w:rsid w:val="007A39AB"/>
    <w:rsid w:val="007B3B50"/>
    <w:rsid w:val="007B4619"/>
    <w:rsid w:val="007B63DE"/>
    <w:rsid w:val="007C73EC"/>
    <w:rsid w:val="007D717F"/>
    <w:rsid w:val="007D7C85"/>
    <w:rsid w:val="007F2F43"/>
    <w:rsid w:val="007F607C"/>
    <w:rsid w:val="00804E0F"/>
    <w:rsid w:val="008100E0"/>
    <w:rsid w:val="008130FF"/>
    <w:rsid w:val="00833113"/>
    <w:rsid w:val="00840798"/>
    <w:rsid w:val="0085243A"/>
    <w:rsid w:val="00854273"/>
    <w:rsid w:val="00871343"/>
    <w:rsid w:val="00871FF0"/>
    <w:rsid w:val="00877D6A"/>
    <w:rsid w:val="00880786"/>
    <w:rsid w:val="0088335F"/>
    <w:rsid w:val="00883461"/>
    <w:rsid w:val="00883AF3"/>
    <w:rsid w:val="008842FB"/>
    <w:rsid w:val="00887EF8"/>
    <w:rsid w:val="008924B7"/>
    <w:rsid w:val="00892BA6"/>
    <w:rsid w:val="00892F8F"/>
    <w:rsid w:val="008A023B"/>
    <w:rsid w:val="008A0CB9"/>
    <w:rsid w:val="008A7D32"/>
    <w:rsid w:val="008A7D6D"/>
    <w:rsid w:val="008B6FEB"/>
    <w:rsid w:val="008D0727"/>
    <w:rsid w:val="008D1DE5"/>
    <w:rsid w:val="008E454E"/>
    <w:rsid w:val="008F1C60"/>
    <w:rsid w:val="008F2F8B"/>
    <w:rsid w:val="008F3835"/>
    <w:rsid w:val="008F491B"/>
    <w:rsid w:val="008F772B"/>
    <w:rsid w:val="0090008E"/>
    <w:rsid w:val="0090385F"/>
    <w:rsid w:val="00903B54"/>
    <w:rsid w:val="00924B61"/>
    <w:rsid w:val="00924B66"/>
    <w:rsid w:val="00926BFB"/>
    <w:rsid w:val="00926DFD"/>
    <w:rsid w:val="0093456B"/>
    <w:rsid w:val="009347D4"/>
    <w:rsid w:val="0094096A"/>
    <w:rsid w:val="009556CF"/>
    <w:rsid w:val="009609D1"/>
    <w:rsid w:val="00960E59"/>
    <w:rsid w:val="00961D92"/>
    <w:rsid w:val="00962591"/>
    <w:rsid w:val="00962AB5"/>
    <w:rsid w:val="00962D53"/>
    <w:rsid w:val="00962E7F"/>
    <w:rsid w:val="00963373"/>
    <w:rsid w:val="009671F6"/>
    <w:rsid w:val="009801FC"/>
    <w:rsid w:val="00984248"/>
    <w:rsid w:val="00984CF2"/>
    <w:rsid w:val="0099069C"/>
    <w:rsid w:val="00990D07"/>
    <w:rsid w:val="00996598"/>
    <w:rsid w:val="009A522E"/>
    <w:rsid w:val="009A5954"/>
    <w:rsid w:val="009A7EC4"/>
    <w:rsid w:val="009B02BE"/>
    <w:rsid w:val="009B130F"/>
    <w:rsid w:val="009C18AC"/>
    <w:rsid w:val="009C6D06"/>
    <w:rsid w:val="009D006A"/>
    <w:rsid w:val="009D67E5"/>
    <w:rsid w:val="009E198B"/>
    <w:rsid w:val="009E30B9"/>
    <w:rsid w:val="009E3AF0"/>
    <w:rsid w:val="009E3E2D"/>
    <w:rsid w:val="009E6B14"/>
    <w:rsid w:val="009F3E0A"/>
    <w:rsid w:val="00A01312"/>
    <w:rsid w:val="00A03CE1"/>
    <w:rsid w:val="00A10079"/>
    <w:rsid w:val="00A24015"/>
    <w:rsid w:val="00A35371"/>
    <w:rsid w:val="00A4360E"/>
    <w:rsid w:val="00A501B4"/>
    <w:rsid w:val="00A642B2"/>
    <w:rsid w:val="00A75637"/>
    <w:rsid w:val="00A75A42"/>
    <w:rsid w:val="00A80815"/>
    <w:rsid w:val="00A91094"/>
    <w:rsid w:val="00AA4A5E"/>
    <w:rsid w:val="00AA5B19"/>
    <w:rsid w:val="00AA6CC8"/>
    <w:rsid w:val="00AD1565"/>
    <w:rsid w:val="00AD3CC8"/>
    <w:rsid w:val="00AD60E9"/>
    <w:rsid w:val="00AD7275"/>
    <w:rsid w:val="00AE2BA8"/>
    <w:rsid w:val="00AE6E1B"/>
    <w:rsid w:val="00AF3E57"/>
    <w:rsid w:val="00AF724B"/>
    <w:rsid w:val="00B039D8"/>
    <w:rsid w:val="00B05682"/>
    <w:rsid w:val="00B10F81"/>
    <w:rsid w:val="00B22418"/>
    <w:rsid w:val="00B22760"/>
    <w:rsid w:val="00B23BE0"/>
    <w:rsid w:val="00B4229B"/>
    <w:rsid w:val="00B44DA3"/>
    <w:rsid w:val="00B5155B"/>
    <w:rsid w:val="00B53079"/>
    <w:rsid w:val="00B54E9A"/>
    <w:rsid w:val="00B54FB6"/>
    <w:rsid w:val="00B62AC5"/>
    <w:rsid w:val="00B64E20"/>
    <w:rsid w:val="00B72C64"/>
    <w:rsid w:val="00B81425"/>
    <w:rsid w:val="00B82E9F"/>
    <w:rsid w:val="00B935E2"/>
    <w:rsid w:val="00B94778"/>
    <w:rsid w:val="00B96263"/>
    <w:rsid w:val="00BA4392"/>
    <w:rsid w:val="00BA7A1D"/>
    <w:rsid w:val="00BC082F"/>
    <w:rsid w:val="00BC2E7C"/>
    <w:rsid w:val="00BC408D"/>
    <w:rsid w:val="00BD0290"/>
    <w:rsid w:val="00BD661F"/>
    <w:rsid w:val="00BD6A55"/>
    <w:rsid w:val="00BE2E28"/>
    <w:rsid w:val="00BE5021"/>
    <w:rsid w:val="00BF1A24"/>
    <w:rsid w:val="00BF3AFD"/>
    <w:rsid w:val="00BF65E4"/>
    <w:rsid w:val="00C0158F"/>
    <w:rsid w:val="00C02244"/>
    <w:rsid w:val="00C166B9"/>
    <w:rsid w:val="00C23C5D"/>
    <w:rsid w:val="00C303AD"/>
    <w:rsid w:val="00C350E6"/>
    <w:rsid w:val="00C35915"/>
    <w:rsid w:val="00C37F2F"/>
    <w:rsid w:val="00C40B76"/>
    <w:rsid w:val="00C42799"/>
    <w:rsid w:val="00C438E2"/>
    <w:rsid w:val="00C5079B"/>
    <w:rsid w:val="00C51FB1"/>
    <w:rsid w:val="00C52584"/>
    <w:rsid w:val="00C5795F"/>
    <w:rsid w:val="00C62532"/>
    <w:rsid w:val="00C626C7"/>
    <w:rsid w:val="00C65CA2"/>
    <w:rsid w:val="00C70665"/>
    <w:rsid w:val="00C71931"/>
    <w:rsid w:val="00C756BE"/>
    <w:rsid w:val="00C75BA4"/>
    <w:rsid w:val="00C77877"/>
    <w:rsid w:val="00C8143E"/>
    <w:rsid w:val="00C845D8"/>
    <w:rsid w:val="00C91775"/>
    <w:rsid w:val="00C92645"/>
    <w:rsid w:val="00C93DEF"/>
    <w:rsid w:val="00C96D13"/>
    <w:rsid w:val="00C96F42"/>
    <w:rsid w:val="00C9799C"/>
    <w:rsid w:val="00C97A17"/>
    <w:rsid w:val="00CC3416"/>
    <w:rsid w:val="00CD42D1"/>
    <w:rsid w:val="00CD7620"/>
    <w:rsid w:val="00CE42C6"/>
    <w:rsid w:val="00CF7D9C"/>
    <w:rsid w:val="00CF7DC0"/>
    <w:rsid w:val="00D00DB1"/>
    <w:rsid w:val="00D0601D"/>
    <w:rsid w:val="00D14C04"/>
    <w:rsid w:val="00D152C0"/>
    <w:rsid w:val="00D17186"/>
    <w:rsid w:val="00D21179"/>
    <w:rsid w:val="00D25FA8"/>
    <w:rsid w:val="00D310C3"/>
    <w:rsid w:val="00D40783"/>
    <w:rsid w:val="00D458B3"/>
    <w:rsid w:val="00D554EA"/>
    <w:rsid w:val="00D60C8F"/>
    <w:rsid w:val="00D63675"/>
    <w:rsid w:val="00D65317"/>
    <w:rsid w:val="00D656D3"/>
    <w:rsid w:val="00D749DF"/>
    <w:rsid w:val="00D8465A"/>
    <w:rsid w:val="00D96FBC"/>
    <w:rsid w:val="00D97EC8"/>
    <w:rsid w:val="00DB451D"/>
    <w:rsid w:val="00DB7090"/>
    <w:rsid w:val="00DB71EF"/>
    <w:rsid w:val="00DB73E1"/>
    <w:rsid w:val="00DC1714"/>
    <w:rsid w:val="00DC481A"/>
    <w:rsid w:val="00DC797E"/>
    <w:rsid w:val="00DD01EF"/>
    <w:rsid w:val="00DD712D"/>
    <w:rsid w:val="00DE1426"/>
    <w:rsid w:val="00DE3572"/>
    <w:rsid w:val="00DE4055"/>
    <w:rsid w:val="00DF3686"/>
    <w:rsid w:val="00E047DB"/>
    <w:rsid w:val="00E04F6B"/>
    <w:rsid w:val="00E1261B"/>
    <w:rsid w:val="00E17CC0"/>
    <w:rsid w:val="00E44AEB"/>
    <w:rsid w:val="00E44BE4"/>
    <w:rsid w:val="00E530A9"/>
    <w:rsid w:val="00E55189"/>
    <w:rsid w:val="00E5591F"/>
    <w:rsid w:val="00E559FF"/>
    <w:rsid w:val="00E60223"/>
    <w:rsid w:val="00E61617"/>
    <w:rsid w:val="00E6400E"/>
    <w:rsid w:val="00E658CA"/>
    <w:rsid w:val="00E700A2"/>
    <w:rsid w:val="00E718DA"/>
    <w:rsid w:val="00E741D7"/>
    <w:rsid w:val="00E74257"/>
    <w:rsid w:val="00E8457A"/>
    <w:rsid w:val="00E91439"/>
    <w:rsid w:val="00E9359B"/>
    <w:rsid w:val="00E94873"/>
    <w:rsid w:val="00EA67B6"/>
    <w:rsid w:val="00EA77BE"/>
    <w:rsid w:val="00EB62C3"/>
    <w:rsid w:val="00EC316D"/>
    <w:rsid w:val="00EC5D2C"/>
    <w:rsid w:val="00EC6201"/>
    <w:rsid w:val="00ED0C72"/>
    <w:rsid w:val="00ED50A3"/>
    <w:rsid w:val="00ED7AF5"/>
    <w:rsid w:val="00EF0646"/>
    <w:rsid w:val="00EF2867"/>
    <w:rsid w:val="00EF4CA1"/>
    <w:rsid w:val="00EF5C01"/>
    <w:rsid w:val="00F009EA"/>
    <w:rsid w:val="00F02D1E"/>
    <w:rsid w:val="00F0501E"/>
    <w:rsid w:val="00F13155"/>
    <w:rsid w:val="00F13C82"/>
    <w:rsid w:val="00F14088"/>
    <w:rsid w:val="00F152FC"/>
    <w:rsid w:val="00F24F2F"/>
    <w:rsid w:val="00F26145"/>
    <w:rsid w:val="00F30FD2"/>
    <w:rsid w:val="00F362CD"/>
    <w:rsid w:val="00F4021D"/>
    <w:rsid w:val="00F47DCE"/>
    <w:rsid w:val="00F5583D"/>
    <w:rsid w:val="00F56BC3"/>
    <w:rsid w:val="00F6178B"/>
    <w:rsid w:val="00F67B47"/>
    <w:rsid w:val="00F761BD"/>
    <w:rsid w:val="00F91AE3"/>
    <w:rsid w:val="00F95F27"/>
    <w:rsid w:val="00FB2B30"/>
    <w:rsid w:val="00FB3B60"/>
    <w:rsid w:val="00FB5E38"/>
    <w:rsid w:val="00FC12B0"/>
    <w:rsid w:val="00FC5AC1"/>
    <w:rsid w:val="00FC6EFF"/>
    <w:rsid w:val="00FD0738"/>
    <w:rsid w:val="00FE2A7B"/>
    <w:rsid w:val="00FE303B"/>
    <w:rsid w:val="00FE64E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A3914"/>
  <w15:chartTrackingRefBased/>
  <w15:docId w15:val="{F6FE1CC7-3D3A-4D2C-BEC0-908AE5B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0936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32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7"/>
  </w:style>
  <w:style w:type="paragraph" w:styleId="Footer">
    <w:name w:val="footer"/>
    <w:basedOn w:val="Normal"/>
    <w:link w:val="FooterChar"/>
    <w:uiPriority w:val="99"/>
    <w:unhideWhenUsed/>
    <w:rsid w:val="00321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7"/>
  </w:style>
  <w:style w:type="table" w:styleId="GridTable4-Accent6">
    <w:name w:val="Grid Table 4 Accent 6"/>
    <w:basedOn w:val="TableNormal"/>
    <w:uiPriority w:val="49"/>
    <w:rsid w:val="008542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B3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@fatprophets.com.au" TargetMode="External"/><Relationship Id="rId2" Type="http://schemas.openxmlformats.org/officeDocument/2006/relationships/hyperlink" Target="http://www.fpcontrarian.com.au" TargetMode="External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microsoft.com/office/2007/relationships/hdphoto" Target="media/hdphoto1.wdp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Nguyen\Fat%20Prophets\FP%20Operations%20-%20Documents\NTA%20new%20template\NT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fatprophet.sharepoint.com/sites/WealthManagement/Shared%20Documents/WM%20Reporting/Historical%20NTA/FPC/2022/July%202022/Monthly%20NTA/July%202022%20N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fatprophet.sharepoint.com/sites/WealthManagement/Shared%20Documents/WM%20Reporting/Historical%20NTA/FPC/2022/July%202022/Monthly%20NTA/July%202022%20N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800" b="1"/>
              <a:t>GEOGRAPHIC EXPOSURE AS AT 31 JULY 2022 </a:t>
            </a:r>
          </a:p>
        </c:rich>
      </c:tx>
      <c:layout>
        <c:manualLayout>
          <c:xMode val="edge"/>
          <c:yMode val="edge"/>
          <c:x val="9.1819290878306273E-2"/>
          <c:y val="1.3156038047557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61-4947-8D13-343F9BF6D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61-4947-8D13-343F9BF6D1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61-4947-8D13-343F9BF6D1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961-4947-8D13-343F9BF6D1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961-4947-8D13-343F9BF6D13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961-4947-8D13-343F9BF6D13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961-4947-8D13-343F9BF6D13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961-4947-8D13-343F9BF6D13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961-4947-8D13-343F9BF6D138}"/>
              </c:ext>
            </c:extLst>
          </c:dPt>
          <c:dLbls>
            <c:dLbl>
              <c:idx val="4"/>
              <c:layout>
                <c:manualLayout>
                  <c:x val="-1.7647058823529429E-2"/>
                  <c:y val="4.539007092198581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61-4947-8D13-343F9BF6D138}"/>
                </c:ext>
              </c:extLst>
            </c:dLbl>
            <c:dLbl>
              <c:idx val="5"/>
              <c:layout>
                <c:manualLayout>
                  <c:x val="-9.4117647058823542E-2"/>
                  <c:y val="1.702127659574468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61-4947-8D13-343F9BF6D138}"/>
                </c:ext>
              </c:extLst>
            </c:dLbl>
            <c:dLbl>
              <c:idx val="6"/>
              <c:layout>
                <c:manualLayout>
                  <c:x val="-2.9411764705882387E-2"/>
                  <c:y val="-1.134751773049645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61-4947-8D13-343F9BF6D138}"/>
                </c:ext>
              </c:extLst>
            </c:dLbl>
            <c:dLbl>
              <c:idx val="7"/>
              <c:layout>
                <c:manualLayout>
                  <c:x val="0"/>
                  <c:y val="-1.134751773049645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961-4947-8D13-343F9BF6D138}"/>
                </c:ext>
              </c:extLst>
            </c:dLbl>
            <c:dLbl>
              <c:idx val="8"/>
              <c:layout>
                <c:manualLayout>
                  <c:x val="4.1176470588235294E-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961-4947-8D13-343F9BF6D1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'FPGC Valuation 31 JULY 22 (Geo)'!$H$4:$H$9</c:f>
              <c:strCache>
                <c:ptCount val="6"/>
                <c:pt idx="0">
                  <c:v>Australia</c:v>
                </c:pt>
                <c:pt idx="1">
                  <c:v>United Kingdom</c:v>
                </c:pt>
                <c:pt idx="2">
                  <c:v>Japan</c:v>
                </c:pt>
                <c:pt idx="3">
                  <c:v>United States </c:v>
                </c:pt>
                <c:pt idx="4">
                  <c:v>Precious Metals</c:v>
                </c:pt>
                <c:pt idx="5">
                  <c:v>Cash</c:v>
                </c:pt>
              </c:strCache>
            </c:strRef>
          </c:cat>
          <c:val>
            <c:numRef>
              <c:f>'FPGC Valuation 31 JULY 22 (Geo)'!$M$4:$M$9</c:f>
              <c:numCache>
                <c:formatCode>0.00%</c:formatCode>
                <c:ptCount val="6"/>
                <c:pt idx="0">
                  <c:v>0.24754816362945964</c:v>
                </c:pt>
                <c:pt idx="1">
                  <c:v>3.449955663148211E-2</c:v>
                </c:pt>
                <c:pt idx="2">
                  <c:v>8.7629828764921133E-2</c:v>
                </c:pt>
                <c:pt idx="3">
                  <c:v>8.589331919809472E-3</c:v>
                </c:pt>
                <c:pt idx="4">
                  <c:v>8.3555813743148521E-2</c:v>
                </c:pt>
                <c:pt idx="5">
                  <c:v>0.53817730531117913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961-4947-8D13-343F9BF6D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800" b="1" i="0" baseline="0">
                <a:effectLst/>
              </a:rPr>
              <a:t>SECTOR DISPERSION AS AT 31 JULY 2022</a:t>
            </a:r>
            <a:endParaRPr lang="en-A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6B-4C09-98B7-4925C37FFB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6B-4C09-98B7-4925C37FFB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6B-4C09-98B7-4925C37FFB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6B-4C09-98B7-4925C37FFB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6B-4C09-98B7-4925C37FFB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36B-4C09-98B7-4925C37FFB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36B-4C09-98B7-4925C37FFB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36B-4C09-98B7-4925C37FFB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36B-4C09-98B7-4925C37FFB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36B-4C09-98B7-4925C37FFB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36B-4C09-98B7-4925C37FFBA8}"/>
              </c:ext>
            </c:extLst>
          </c:dPt>
          <c:dLbls>
            <c:dLbl>
              <c:idx val="0"/>
              <c:layout>
                <c:manualLayout>
                  <c:x val="-0.10610737332655029"/>
                  <c:y val="6.6987145638788808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6B-4C09-98B7-4925C37FFBA8}"/>
                </c:ext>
              </c:extLst>
            </c:dLbl>
            <c:dLbl>
              <c:idx val="1"/>
              <c:layout>
                <c:manualLayout>
                  <c:x val="-3.3595333875558321E-3"/>
                  <c:y val="-9.7526729652523091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6B-4C09-98B7-4925C37FFBA8}"/>
                </c:ext>
              </c:extLst>
            </c:dLbl>
            <c:dLbl>
              <c:idx val="2"/>
              <c:layout>
                <c:manualLayout>
                  <c:x val="7.0956523145079067E-2"/>
                  <c:y val="4.3367041048802908E-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6B-4C09-98B7-4925C37FFBA8}"/>
                </c:ext>
              </c:extLst>
            </c:dLbl>
            <c:dLbl>
              <c:idx val="3"/>
              <c:layout>
                <c:manualLayout>
                  <c:x val="1.6427104722792685E-2"/>
                  <c:y val="1.974055273547659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6B-4C09-98B7-4925C37FFBA8}"/>
                </c:ext>
              </c:extLst>
            </c:dLbl>
            <c:dLbl>
              <c:idx val="4"/>
              <c:layout>
                <c:manualLayout>
                  <c:x val="1.2320328542094456E-2"/>
                  <c:y val="-1.41003948110547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6B-4C09-98B7-4925C37FFBA8}"/>
                </c:ext>
              </c:extLst>
            </c:dLbl>
            <c:dLbl>
              <c:idx val="5"/>
              <c:layout>
                <c:manualLayout>
                  <c:x val="1.8480492813141684E-2"/>
                  <c:y val="-1.692047377326565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6B-4C09-98B7-4925C37FFBA8}"/>
                </c:ext>
              </c:extLst>
            </c:dLbl>
            <c:dLbl>
              <c:idx val="6"/>
              <c:layout>
                <c:manualLayout>
                  <c:x val="2.2926915917447707E-2"/>
                  <c:y val="2.146302120896313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6B-4C09-98B7-4925C37FFBA8}"/>
                </c:ext>
              </c:extLst>
            </c:dLbl>
            <c:dLbl>
              <c:idx val="7"/>
              <c:layout>
                <c:manualLayout>
                  <c:x val="0"/>
                  <c:y val="1.430359243546442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6B-4C09-98B7-4925C37FFBA8}"/>
                </c:ext>
              </c:extLst>
            </c:dLbl>
            <c:dLbl>
              <c:idx val="8"/>
              <c:layout>
                <c:manualLayout>
                  <c:x val="7.7368591246422591E-2"/>
                  <c:y val="8.2339644092710735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6B-4C09-98B7-4925C37FFBA8}"/>
                </c:ext>
              </c:extLst>
            </c:dLbl>
            <c:dLbl>
              <c:idx val="9"/>
              <c:layout>
                <c:manualLayout>
                  <c:x val="-1.4061989684554393E-2"/>
                  <c:y val="-1.5270616553641455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36B-4C09-98B7-4925C37FFBA8}"/>
                </c:ext>
              </c:extLst>
            </c:dLbl>
            <c:dLbl>
              <c:idx val="10"/>
              <c:layout>
                <c:manualLayout>
                  <c:x val="-2.5082068551535545E-2"/>
                  <c:y val="-1.19324611424570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36B-4C09-98B7-4925C37FF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'FPGC Valuation 31 JULY (sector)'!$K$4:$K$14</c:f>
              <c:strCache>
                <c:ptCount val="11"/>
                <c:pt idx="0">
                  <c:v>Energy</c:v>
                </c:pt>
                <c:pt idx="1">
                  <c:v>Commodities &amp; Mining</c:v>
                </c:pt>
                <c:pt idx="2">
                  <c:v>Value Industrials</c:v>
                </c:pt>
                <c:pt idx="3">
                  <c:v>Growth Industrials</c:v>
                </c:pt>
                <c:pt idx="4">
                  <c:v>Precious Metals</c:v>
                </c:pt>
                <c:pt idx="5">
                  <c:v>Technology &amp; IT</c:v>
                </c:pt>
                <c:pt idx="6">
                  <c:v>Reopeners</c:v>
                </c:pt>
                <c:pt idx="7">
                  <c:v>Japanese Financials &amp; Insurance</c:v>
                </c:pt>
                <c:pt idx="8">
                  <c:v>Australian Insurance &amp; Financials</c:v>
                </c:pt>
                <c:pt idx="9">
                  <c:v>Property</c:v>
                </c:pt>
                <c:pt idx="10">
                  <c:v>Cash</c:v>
                </c:pt>
              </c:strCache>
            </c:strRef>
          </c:cat>
          <c:val>
            <c:numRef>
              <c:f>'FPGC Valuation 31 JULY (sector)'!$M$4:$M$14</c:f>
              <c:numCache>
                <c:formatCode>0.00%</c:formatCode>
                <c:ptCount val="11"/>
                <c:pt idx="0">
                  <c:v>1.2777486725717215E-2</c:v>
                </c:pt>
                <c:pt idx="1">
                  <c:v>4.977212403879315E-2</c:v>
                </c:pt>
                <c:pt idx="2">
                  <c:v>3.6222949628955149E-2</c:v>
                </c:pt>
                <c:pt idx="3">
                  <c:v>6.9869267799693324E-2</c:v>
                </c:pt>
                <c:pt idx="4">
                  <c:v>8.355624152772459E-2</c:v>
                </c:pt>
                <c:pt idx="5">
                  <c:v>3.3952221454947064E-2</c:v>
                </c:pt>
                <c:pt idx="6">
                  <c:v>1.108906762939163E-2</c:v>
                </c:pt>
                <c:pt idx="7">
                  <c:v>8.7630277407420923E-2</c:v>
                </c:pt>
                <c:pt idx="8">
                  <c:v>5.3460040272752793E-2</c:v>
                </c:pt>
                <c:pt idx="9">
                  <c:v>2.3490262872107079E-2</c:v>
                </c:pt>
                <c:pt idx="10">
                  <c:v>0.53818006064249702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36B-4C09-98B7-4925C37FFB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a6697-20a4-460a-bd66-62822fa99068" xsi:nil="true"/>
    <lcf76f155ced4ddcb4097134ff3c332f xmlns="9ec64879-0961-4ed1-8b3c-c6e637e877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09C797BC1BE4E979F14BAAA6FE8CD" ma:contentTypeVersion="16" ma:contentTypeDescription="Create a new document." ma:contentTypeScope="" ma:versionID="63619aa3769588414ae5dbaa81ffc631">
  <xsd:schema xmlns:xsd="http://www.w3.org/2001/XMLSchema" xmlns:xs="http://www.w3.org/2001/XMLSchema" xmlns:p="http://schemas.microsoft.com/office/2006/metadata/properties" xmlns:ns2="9ec64879-0961-4ed1-8b3c-c6e637e87776" xmlns:ns3="e40a6697-20a4-460a-bd66-62822fa99068" targetNamespace="http://schemas.microsoft.com/office/2006/metadata/properties" ma:root="true" ma:fieldsID="ce5c3618c18c9424bcf2f6a58ceb9f8d" ns2:_="" ns3:_="">
    <xsd:import namespace="9ec64879-0961-4ed1-8b3c-c6e637e87776"/>
    <xsd:import namespace="e40a6697-20a4-460a-bd66-62822fa99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64879-0961-4ed1-8b3c-c6e637e87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03b5a9-1d16-4995-8409-ba83c954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a6697-20a4-460a-bd66-62822fa9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03987-51aa-4ba4-87d9-07a2dda5090e}" ma:internalName="TaxCatchAll" ma:showField="CatchAllData" ma:web="e40a6697-20a4-460a-bd66-62822fa99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88614-7D79-46E0-AC8D-E6C3EBA07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8FC7E-D28F-4EEE-ADA8-4B6755EC37FA}">
  <ds:schemaRefs>
    <ds:schemaRef ds:uri="http://schemas.microsoft.com/office/2006/metadata/properties"/>
    <ds:schemaRef ds:uri="http://schemas.microsoft.com/office/infopath/2007/PartnerControls"/>
    <ds:schemaRef ds:uri="e40a6697-20a4-460a-bd66-62822fa99068"/>
    <ds:schemaRef ds:uri="9ec64879-0961-4ed1-8b3c-c6e637e87776"/>
  </ds:schemaRefs>
</ds:datastoreItem>
</file>

<file path=customXml/itemProps3.xml><?xml version="1.0" encoding="utf-8"?>
<ds:datastoreItem xmlns:ds="http://schemas.openxmlformats.org/officeDocument/2006/customXml" ds:itemID="{A1489A6F-B6FA-431B-807F-0FCEABF74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C86E22-9532-4320-9490-5D8DCF4EF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64879-0961-4ed1-8b3c-c6e637e87776"/>
    <ds:schemaRef ds:uri="e40a6697-20a4-460a-bd66-62822fa9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NTA.dotx</Template>
  <TotalTime>1401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12" baseType="variant"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mailto:invest@fatprophets.com.au</vt:lpwstr>
      </vt:variant>
      <vt:variant>
        <vt:lpwstr/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http://www.fpcontrarian.com.au/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Nguyen</dc:creator>
  <cp:keywords/>
  <dc:description/>
  <cp:lastModifiedBy>Megan Le</cp:lastModifiedBy>
  <cp:revision>13</cp:revision>
  <dcterms:created xsi:type="dcterms:W3CDTF">2022-08-10T04:05:00Z</dcterms:created>
  <dcterms:modified xsi:type="dcterms:W3CDTF">2022-08-12T03:55:00Z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0x01010078309C797BC1BE4E979F14BAAA6FE8CD</vt:lpwstr>
  </property>
  <property fmtid="{D5CDD505-2E9C-101B-9397-08002B2CF9AE}" pid="3" name="MediaServiceImageTags">
    <vt:lpwstr/>
  </property>
</Properties>
</file>